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03D1" w:rsidRDefault="001703D1">
      <w:pPr>
        <w:spacing w:line="360" w:lineRule="auto"/>
        <w:rPr>
          <w:rFonts w:ascii="Calibri" w:hAnsi="Calibri" w:cs="Times New Roman"/>
        </w:rPr>
      </w:pPr>
      <w:bookmarkStart w:id="0" w:name="_GoBack"/>
      <w:bookmarkEnd w:id="0"/>
    </w:p>
    <w:p w:rsidR="001703D1" w:rsidRDefault="001703D1">
      <w:pPr>
        <w:spacing w:line="243" w:lineRule="atLeast"/>
        <w:rPr>
          <w:rFonts w:ascii="Calibri" w:hAnsi="Calibri" w:cs="Times New Roman"/>
        </w:rPr>
      </w:pPr>
    </w:p>
    <w:p w:rsidR="001703D1" w:rsidRDefault="001703D1">
      <w:pPr>
        <w:spacing w:line="243" w:lineRule="atLeast"/>
        <w:rPr>
          <w:rFonts w:ascii="Calibri" w:hAnsi="Calibri" w:cs="Times New Roman"/>
        </w:rPr>
      </w:pPr>
    </w:p>
    <w:p w:rsidR="001703D1" w:rsidRDefault="008434BB">
      <w:pPr>
        <w:jc w:val="center"/>
        <w:rPr>
          <w:rFonts w:ascii="微软雅黑" w:eastAsia="微软雅黑" w:hAnsi="微软雅黑" w:cs="微软雅黑"/>
          <w:w w:val="90"/>
          <w:sz w:val="72"/>
          <w:szCs w:val="72"/>
        </w:rPr>
      </w:pPr>
      <w:r>
        <w:rPr>
          <w:rFonts w:ascii="微软雅黑" w:eastAsia="微软雅黑" w:hAnsi="微软雅黑" w:cs="微软雅黑" w:hint="eastAsia"/>
          <w:sz w:val="72"/>
          <w:szCs w:val="72"/>
        </w:rPr>
        <w:t>四川</w:t>
      </w:r>
      <w:r w:rsidR="00FB5C6D">
        <w:rPr>
          <w:rFonts w:ascii="微软雅黑" w:eastAsia="微软雅黑" w:hAnsi="微软雅黑" w:cs="微软雅黑" w:hint="eastAsia"/>
          <w:sz w:val="72"/>
          <w:szCs w:val="72"/>
        </w:rPr>
        <w:t>职业院校技能大赛</w:t>
      </w:r>
    </w:p>
    <w:p w:rsidR="001703D1" w:rsidRDefault="00FB5C6D">
      <w:pPr>
        <w:spacing w:line="510" w:lineRule="atLeast"/>
        <w:jc w:val="center"/>
        <w:rPr>
          <w:rFonts w:ascii="微软雅黑" w:eastAsia="微软雅黑" w:hAnsi="微软雅黑" w:cs="微软雅黑"/>
          <w:sz w:val="52"/>
          <w:szCs w:val="52"/>
        </w:rPr>
      </w:pPr>
      <w:r>
        <w:rPr>
          <w:rFonts w:ascii="微软雅黑" w:eastAsia="微软雅黑" w:hAnsi="微软雅黑" w:cs="微软雅黑" w:hint="eastAsia"/>
          <w:sz w:val="72"/>
          <w:szCs w:val="72"/>
        </w:rPr>
        <w:t>赛题素材</w:t>
      </w:r>
    </w:p>
    <w:p w:rsidR="001703D1" w:rsidRDefault="001703D1">
      <w:pPr>
        <w:spacing w:line="510" w:lineRule="atLeast"/>
        <w:jc w:val="center"/>
        <w:rPr>
          <w:rFonts w:ascii="微软雅黑" w:eastAsia="微软雅黑" w:hAnsi="微软雅黑" w:cs="微软雅黑"/>
          <w:sz w:val="36"/>
          <w:szCs w:val="36"/>
        </w:rPr>
      </w:pPr>
    </w:p>
    <w:p w:rsidR="001703D1" w:rsidRDefault="00FB5C6D">
      <w:pPr>
        <w:spacing w:line="510" w:lineRule="atLeast"/>
        <w:jc w:val="center"/>
        <w:rPr>
          <w:rFonts w:ascii="微软雅黑" w:eastAsia="微软雅黑" w:hAnsi="微软雅黑" w:cs="微软雅黑"/>
          <w:sz w:val="36"/>
          <w:szCs w:val="36"/>
        </w:rPr>
      </w:pPr>
      <w:r>
        <w:rPr>
          <w:rFonts w:ascii="微软雅黑" w:eastAsia="微软雅黑" w:hAnsi="微软雅黑" w:cs="微软雅黑" w:hint="eastAsia"/>
          <w:sz w:val="36"/>
          <w:szCs w:val="36"/>
        </w:rPr>
        <w:t>（第</w:t>
      </w:r>
      <w:r w:rsidR="008434BB">
        <w:rPr>
          <w:rFonts w:ascii="微软雅黑" w:eastAsia="微软雅黑" w:hAnsi="微软雅黑" w:cs="微软雅黑" w:hint="eastAsia"/>
          <w:sz w:val="36"/>
          <w:szCs w:val="36"/>
        </w:rPr>
        <w:t>二</w:t>
      </w:r>
      <w:r>
        <w:rPr>
          <w:rFonts w:ascii="微软雅黑" w:eastAsia="微软雅黑" w:hAnsi="微软雅黑" w:cs="微软雅黑" w:hint="eastAsia"/>
          <w:sz w:val="36"/>
          <w:szCs w:val="36"/>
        </w:rPr>
        <w:t>套共</w:t>
      </w:r>
      <w:r w:rsidR="008434BB">
        <w:rPr>
          <w:rFonts w:ascii="微软雅黑" w:eastAsia="微软雅黑" w:hAnsi="微软雅黑" w:cs="微软雅黑" w:hint="eastAsia"/>
          <w:sz w:val="36"/>
          <w:szCs w:val="36"/>
        </w:rPr>
        <w:t>三</w:t>
      </w:r>
      <w:r>
        <w:rPr>
          <w:rFonts w:ascii="微软雅黑" w:eastAsia="微软雅黑" w:hAnsi="微软雅黑" w:cs="微软雅黑" w:hint="eastAsia"/>
          <w:sz w:val="36"/>
          <w:szCs w:val="36"/>
        </w:rPr>
        <w:t>套）</w:t>
      </w:r>
    </w:p>
    <w:p w:rsidR="001703D1" w:rsidRDefault="001703D1">
      <w:pPr>
        <w:spacing w:line="243" w:lineRule="atLeast"/>
        <w:jc w:val="center"/>
        <w:rPr>
          <w:rFonts w:ascii="Calibri" w:hAnsi="Calibri" w:cs="Times New Roman"/>
        </w:rPr>
      </w:pPr>
    </w:p>
    <w:p w:rsidR="001703D1" w:rsidRDefault="001703D1">
      <w:pPr>
        <w:spacing w:line="243" w:lineRule="atLeast"/>
        <w:jc w:val="center"/>
        <w:rPr>
          <w:rFonts w:ascii="Calibri" w:hAnsi="Calibri" w:cs="Times New Roman"/>
        </w:rPr>
      </w:pPr>
    </w:p>
    <w:p w:rsidR="001703D1" w:rsidRDefault="001703D1">
      <w:pPr>
        <w:spacing w:line="243" w:lineRule="atLeast"/>
        <w:jc w:val="center"/>
        <w:rPr>
          <w:rFonts w:ascii="Calibri" w:hAnsi="Calibri" w:cs="Times New Roman"/>
        </w:rPr>
      </w:pPr>
    </w:p>
    <w:p w:rsidR="001703D1" w:rsidRDefault="001703D1">
      <w:pPr>
        <w:spacing w:line="243" w:lineRule="atLeast"/>
        <w:jc w:val="center"/>
        <w:rPr>
          <w:rFonts w:ascii="Calibri" w:hAnsi="Calibri" w:cs="Times New Roman"/>
        </w:rPr>
      </w:pPr>
    </w:p>
    <w:p w:rsidR="001703D1" w:rsidRDefault="001703D1">
      <w:pPr>
        <w:spacing w:line="243" w:lineRule="atLeast"/>
        <w:jc w:val="center"/>
        <w:rPr>
          <w:rFonts w:ascii="Calibri" w:hAnsi="Calibri" w:cs="Times New Roman"/>
        </w:rPr>
      </w:pPr>
    </w:p>
    <w:p w:rsidR="001703D1" w:rsidRDefault="001703D1">
      <w:pPr>
        <w:spacing w:line="243" w:lineRule="atLeast"/>
        <w:jc w:val="center"/>
        <w:rPr>
          <w:rFonts w:ascii="Calibri" w:hAnsi="Calibri" w:cs="Times New Roman"/>
        </w:rPr>
      </w:pPr>
    </w:p>
    <w:p w:rsidR="001703D1" w:rsidRDefault="001703D1">
      <w:pPr>
        <w:spacing w:line="243" w:lineRule="atLeast"/>
        <w:jc w:val="center"/>
        <w:rPr>
          <w:rFonts w:ascii="Calibri" w:hAnsi="Calibri" w:cs="Times New Roman"/>
        </w:rPr>
      </w:pPr>
    </w:p>
    <w:p w:rsidR="001703D1" w:rsidRDefault="00FB5C6D">
      <w:pPr>
        <w:spacing w:line="360"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t>赛项名称：</w:t>
      </w:r>
      <w:r>
        <w:rPr>
          <w:rFonts w:ascii="仿宋_GB2312" w:eastAsia="仿宋_GB2312" w:hAnsi="仿宋_GB2312" w:cs="仿宋_GB2312" w:hint="eastAsia"/>
          <w:sz w:val="32"/>
          <w:szCs w:val="32"/>
          <w:u w:val="single"/>
        </w:rPr>
        <w:t xml:space="preserve">                 市场营销                 </w:t>
      </w:r>
    </w:p>
    <w:p w:rsidR="001703D1" w:rsidRDefault="00FB5C6D">
      <w:pPr>
        <w:spacing w:line="360" w:lineRule="auto"/>
        <w:rPr>
          <w:rFonts w:ascii="仿宋_GB2312" w:eastAsia="仿宋_GB2312" w:hAnsi="仿宋_GB2312" w:cs="仿宋_GB2312"/>
          <w:sz w:val="32"/>
          <w:szCs w:val="32"/>
          <w:u w:val="single"/>
        </w:rPr>
      </w:pPr>
      <w:r>
        <w:rPr>
          <w:rFonts w:ascii="仿宋_GB2312" w:eastAsia="仿宋_GB2312" w:hAnsi="仿宋_GB2312" w:cs="仿宋_GB2312" w:hint="eastAsia"/>
          <w:sz w:val="32"/>
          <w:szCs w:val="32"/>
        </w:rPr>
        <w:t>赛项编号：</w:t>
      </w:r>
      <w:r w:rsidR="008434BB">
        <w:rPr>
          <w:rFonts w:ascii="仿宋_GB2312" w:eastAsia="仿宋_GB2312" w:hAnsi="仿宋_GB2312" w:cs="仿宋_GB2312" w:hint="eastAsia"/>
          <w:sz w:val="32"/>
          <w:szCs w:val="32"/>
          <w:u w:val="single"/>
        </w:rPr>
        <w:t xml:space="preserve">               SCGZ2024046</w:t>
      </w:r>
      <w:r>
        <w:rPr>
          <w:rFonts w:ascii="仿宋_GB2312" w:eastAsia="仿宋_GB2312" w:hAnsi="仿宋_GB2312" w:cs="仿宋_GB2312" w:hint="eastAsia"/>
          <w:sz w:val="32"/>
          <w:szCs w:val="32"/>
          <w:u w:val="single"/>
        </w:rPr>
        <w:t xml:space="preserve">                  </w:t>
      </w:r>
    </w:p>
    <w:p w:rsidR="001703D1" w:rsidRDefault="00FB5C6D">
      <w:pPr>
        <w:spacing w:line="360"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t>赛项组别：□中等职业教育   ☑高等职业教育</w:t>
      </w: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1703D1">
      <w:pPr>
        <w:spacing w:line="243" w:lineRule="atLeast"/>
        <w:jc w:val="center"/>
        <w:rPr>
          <w:rFonts w:ascii="仿宋_GB2312" w:eastAsia="仿宋_GB2312" w:hAnsi="仿宋_GB2312" w:cs="仿宋_GB2312"/>
        </w:rPr>
      </w:pPr>
    </w:p>
    <w:p w:rsidR="001703D1" w:rsidRDefault="00FB5C6D">
      <w:pPr>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编制日期：202</w:t>
      </w:r>
      <w:r w:rsidR="008434BB">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年</w:t>
      </w:r>
      <w:r w:rsidR="008434BB">
        <w:rPr>
          <w:rFonts w:ascii="仿宋_GB2312" w:eastAsia="仿宋_GB2312" w:hAnsi="仿宋_GB2312" w:cs="仿宋_GB2312" w:hint="eastAsia"/>
          <w:sz w:val="32"/>
          <w:szCs w:val="32"/>
        </w:rPr>
        <w:t>12</w:t>
      </w:r>
      <w:r>
        <w:rPr>
          <w:rFonts w:ascii="仿宋_GB2312" w:eastAsia="仿宋_GB2312" w:hAnsi="仿宋_GB2312" w:cs="仿宋_GB2312" w:hint="eastAsia"/>
          <w:sz w:val="32"/>
          <w:szCs w:val="32"/>
        </w:rPr>
        <w:t xml:space="preserve">月 </w:t>
      </w:r>
    </w:p>
    <w:p w:rsidR="001703D1" w:rsidRDefault="001703D1">
      <w:pPr>
        <w:spacing w:line="360" w:lineRule="auto"/>
        <w:rPr>
          <w:rFonts w:ascii="Calibri" w:hAnsi="Calibri" w:cs="Times New Roman"/>
        </w:rPr>
      </w:pPr>
    </w:p>
    <w:p w:rsidR="001703D1" w:rsidRDefault="001703D1">
      <w:pPr>
        <w:spacing w:line="360" w:lineRule="auto"/>
        <w:rPr>
          <w:rFonts w:ascii="Calibri" w:hAnsi="Calibri" w:cs="Times New Roman"/>
        </w:rPr>
      </w:pPr>
    </w:p>
    <w:p w:rsidR="001703D1" w:rsidRDefault="001703D1">
      <w:pPr>
        <w:spacing w:line="360" w:lineRule="auto"/>
        <w:rPr>
          <w:rFonts w:ascii="Calibri" w:hAnsi="Calibri" w:cs="Times New Roman"/>
        </w:rPr>
      </w:pPr>
    </w:p>
    <w:p w:rsidR="001703D1" w:rsidRDefault="001703D1">
      <w:pPr>
        <w:widowControl/>
        <w:rPr>
          <w:rFonts w:ascii="宋体" w:hAnsi="宋体"/>
          <w:b/>
          <w:bCs/>
          <w:sz w:val="48"/>
          <w:szCs w:val="48"/>
        </w:rPr>
      </w:pPr>
    </w:p>
    <w:p w:rsidR="001703D1" w:rsidRDefault="00FB5C6D">
      <w:pPr>
        <w:snapToGrid w:val="0"/>
        <w:spacing w:before="60" w:after="60" w:line="312" w:lineRule="auto"/>
        <w:jc w:val="center"/>
        <w:rPr>
          <w:rFonts w:ascii="仿宋_GB2312" w:eastAsia="仿宋_GB2312" w:hAnsi="仿宋_GB2312" w:cs="仿宋_GB2312"/>
          <w:b/>
          <w:bCs/>
          <w:color w:val="333333"/>
          <w:sz w:val="48"/>
          <w:szCs w:val="48"/>
        </w:rPr>
      </w:pPr>
      <w:r>
        <w:rPr>
          <w:rFonts w:ascii="仿宋_GB2312" w:eastAsia="仿宋_GB2312" w:hAnsi="仿宋_GB2312" w:cs="仿宋_GB2312" w:hint="eastAsia"/>
          <w:b/>
          <w:bCs/>
          <w:color w:val="333333"/>
          <w:sz w:val="48"/>
          <w:szCs w:val="48"/>
        </w:rPr>
        <w:t>202</w:t>
      </w:r>
      <w:r w:rsidR="008434BB">
        <w:rPr>
          <w:rFonts w:ascii="仿宋_GB2312" w:eastAsia="仿宋_GB2312" w:hAnsi="仿宋_GB2312" w:cs="仿宋_GB2312" w:hint="eastAsia"/>
          <w:b/>
          <w:bCs/>
          <w:color w:val="333333"/>
          <w:sz w:val="48"/>
          <w:szCs w:val="48"/>
        </w:rPr>
        <w:t>4</w:t>
      </w:r>
      <w:r>
        <w:rPr>
          <w:rFonts w:ascii="仿宋_GB2312" w:eastAsia="仿宋_GB2312" w:hAnsi="仿宋_GB2312" w:cs="仿宋_GB2312" w:hint="eastAsia"/>
          <w:b/>
          <w:bCs/>
          <w:color w:val="333333"/>
          <w:sz w:val="48"/>
          <w:szCs w:val="48"/>
        </w:rPr>
        <w:t>年</w:t>
      </w:r>
      <w:r w:rsidR="008434BB">
        <w:rPr>
          <w:rFonts w:ascii="仿宋_GB2312" w:eastAsia="仿宋_GB2312" w:hAnsi="仿宋_GB2312" w:cs="仿宋_GB2312" w:hint="eastAsia"/>
          <w:b/>
          <w:bCs/>
          <w:color w:val="333333"/>
          <w:sz w:val="48"/>
          <w:szCs w:val="48"/>
        </w:rPr>
        <w:t>四川</w:t>
      </w:r>
      <w:r>
        <w:rPr>
          <w:rFonts w:ascii="仿宋_GB2312" w:eastAsia="仿宋_GB2312" w:hAnsi="仿宋_GB2312" w:cs="仿宋_GB2312" w:hint="eastAsia"/>
          <w:b/>
          <w:bCs/>
          <w:color w:val="333333"/>
          <w:sz w:val="48"/>
          <w:szCs w:val="48"/>
        </w:rPr>
        <w:t>职业院校技能大赛高职组</w:t>
      </w:r>
    </w:p>
    <w:p w:rsidR="001703D1" w:rsidRDefault="00FB5C6D">
      <w:pPr>
        <w:snapToGrid w:val="0"/>
        <w:spacing w:before="60" w:after="60" w:line="312" w:lineRule="auto"/>
        <w:jc w:val="center"/>
        <w:rPr>
          <w:rFonts w:ascii="仿宋_GB2312" w:eastAsia="仿宋_GB2312" w:hAnsi="仿宋_GB2312" w:cs="仿宋_GB2312"/>
          <w:b/>
          <w:bCs/>
          <w:color w:val="333333"/>
          <w:sz w:val="48"/>
          <w:szCs w:val="48"/>
        </w:rPr>
      </w:pPr>
      <w:r>
        <w:rPr>
          <w:rFonts w:ascii="仿宋_GB2312" w:eastAsia="仿宋_GB2312" w:hAnsi="仿宋_GB2312" w:cs="仿宋_GB2312" w:hint="eastAsia"/>
          <w:b/>
          <w:bCs/>
          <w:color w:val="333333"/>
          <w:sz w:val="48"/>
          <w:szCs w:val="48"/>
        </w:rPr>
        <w:t>“市场营销”赛项赛题</w:t>
      </w:r>
    </w:p>
    <w:p w:rsidR="001703D1" w:rsidRDefault="00FB5C6D">
      <w:pPr>
        <w:snapToGrid w:val="0"/>
        <w:spacing w:before="60" w:after="60" w:line="312" w:lineRule="auto"/>
        <w:jc w:val="center"/>
        <w:rPr>
          <w:rFonts w:ascii="仿宋_GB2312" w:eastAsia="仿宋_GB2312" w:hAnsi="仿宋_GB2312" w:cs="仿宋_GB2312"/>
          <w:b/>
          <w:bCs/>
          <w:color w:val="333333"/>
          <w:sz w:val="48"/>
          <w:szCs w:val="48"/>
        </w:rPr>
      </w:pPr>
      <w:r>
        <w:rPr>
          <w:rFonts w:ascii="仿宋_GB2312" w:eastAsia="仿宋_GB2312" w:hAnsi="仿宋_GB2312" w:cs="仿宋_GB2312" w:hint="eastAsia"/>
          <w:b/>
          <w:bCs/>
          <w:color w:val="333333"/>
          <w:sz w:val="48"/>
          <w:szCs w:val="48"/>
        </w:rPr>
        <w:t>第</w:t>
      </w:r>
      <w:r w:rsidR="008434BB">
        <w:rPr>
          <w:rFonts w:ascii="仿宋_GB2312" w:eastAsia="仿宋_GB2312" w:hAnsi="仿宋_GB2312" w:cs="仿宋_GB2312" w:hint="eastAsia"/>
          <w:b/>
          <w:bCs/>
          <w:color w:val="333333"/>
          <w:sz w:val="48"/>
          <w:szCs w:val="48"/>
        </w:rPr>
        <w:t>二</w:t>
      </w:r>
      <w:r>
        <w:rPr>
          <w:rFonts w:ascii="仿宋_GB2312" w:eastAsia="仿宋_GB2312" w:hAnsi="仿宋_GB2312" w:cs="仿宋_GB2312" w:hint="eastAsia"/>
          <w:b/>
          <w:bCs/>
          <w:color w:val="333333"/>
          <w:sz w:val="48"/>
          <w:szCs w:val="48"/>
        </w:rPr>
        <w:t>套</w:t>
      </w:r>
    </w:p>
    <w:p w:rsidR="001703D1" w:rsidRDefault="001703D1">
      <w:pPr>
        <w:spacing w:line="360" w:lineRule="auto"/>
        <w:rPr>
          <w:rFonts w:ascii="仿宋_GB2312" w:eastAsia="仿宋_GB2312" w:hAnsi="仿宋_GB2312" w:cs="仿宋_GB2312"/>
          <w:color w:val="000000" w:themeColor="text1"/>
        </w:rPr>
      </w:pPr>
    </w:p>
    <w:p w:rsidR="001703D1" w:rsidRDefault="00FB5C6D">
      <w:pPr>
        <w:spacing w:line="360" w:lineRule="auto"/>
        <w:ind w:firstLineChars="200"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本赛项共包含</w:t>
      </w:r>
      <w:r w:rsidR="008434BB">
        <w:rPr>
          <w:rFonts w:ascii="仿宋_GB2312" w:eastAsia="仿宋_GB2312" w:hAnsi="仿宋_GB2312" w:cs="仿宋_GB2312" w:hint="eastAsia"/>
          <w:color w:val="000000" w:themeColor="text1"/>
          <w:sz w:val="24"/>
          <w:szCs w:val="32"/>
        </w:rPr>
        <w:t>两</w:t>
      </w:r>
      <w:r>
        <w:rPr>
          <w:rFonts w:ascii="仿宋_GB2312" w:eastAsia="仿宋_GB2312" w:hAnsi="仿宋_GB2312" w:cs="仿宋_GB2312" w:hint="eastAsia"/>
          <w:color w:val="000000" w:themeColor="text1"/>
          <w:sz w:val="24"/>
          <w:szCs w:val="32"/>
        </w:rPr>
        <w:t>个比赛模块，具体内容如下表所示:</w:t>
      </w:r>
    </w:p>
    <w:tbl>
      <w:tblPr>
        <w:tblStyle w:val="a5"/>
        <w:tblW w:w="9041" w:type="dxa"/>
        <w:jc w:val="center"/>
        <w:tblLayout w:type="fixed"/>
        <w:tblLook w:val="04A0"/>
      </w:tblPr>
      <w:tblGrid>
        <w:gridCol w:w="1440"/>
        <w:gridCol w:w="2848"/>
        <w:gridCol w:w="994"/>
        <w:gridCol w:w="1857"/>
        <w:gridCol w:w="1902"/>
      </w:tblGrid>
      <w:tr w:rsidR="001703D1" w:rsidTr="008434BB">
        <w:trPr>
          <w:trHeight w:val="474"/>
          <w:jc w:val="center"/>
        </w:trPr>
        <w:tc>
          <w:tcPr>
            <w:tcW w:w="428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1703D1" w:rsidRDefault="00FB5C6D">
            <w:pPr>
              <w:jc w:val="center"/>
              <w:rPr>
                <w:rFonts w:ascii="仿宋_GB2312" w:eastAsia="仿宋_GB2312" w:hAnsi="仿宋_GB2312" w:cs="仿宋_GB2312"/>
                <w:b/>
                <w:szCs w:val="21"/>
              </w:rPr>
            </w:pPr>
            <w:r>
              <w:rPr>
                <w:rFonts w:ascii="仿宋_GB2312" w:eastAsia="仿宋_GB2312" w:hAnsi="仿宋_GB2312" w:cs="仿宋_GB2312" w:hint="eastAsia"/>
                <w:b/>
                <w:szCs w:val="21"/>
              </w:rPr>
              <w:t>模块</w:t>
            </w:r>
          </w:p>
        </w:tc>
        <w:tc>
          <w:tcPr>
            <w:tcW w:w="994"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1703D1" w:rsidRDefault="00FB5C6D">
            <w:pPr>
              <w:jc w:val="center"/>
              <w:rPr>
                <w:rFonts w:ascii="仿宋_GB2312" w:eastAsia="仿宋_GB2312" w:hAnsi="仿宋_GB2312" w:cs="仿宋_GB2312"/>
                <w:b/>
                <w:szCs w:val="21"/>
              </w:rPr>
            </w:pPr>
            <w:r>
              <w:rPr>
                <w:rFonts w:ascii="仿宋_GB2312" w:eastAsia="仿宋_GB2312" w:hAnsi="仿宋_GB2312" w:cs="仿宋_GB2312" w:hint="eastAsia"/>
                <w:b/>
                <w:szCs w:val="21"/>
              </w:rPr>
              <w:t>分值</w:t>
            </w:r>
          </w:p>
        </w:tc>
        <w:tc>
          <w:tcPr>
            <w:tcW w:w="185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1703D1" w:rsidRDefault="00FB5C6D">
            <w:pPr>
              <w:jc w:val="center"/>
              <w:rPr>
                <w:rFonts w:ascii="仿宋_GB2312" w:eastAsia="仿宋_GB2312" w:hAnsi="仿宋_GB2312" w:cs="仿宋_GB2312"/>
                <w:b/>
                <w:szCs w:val="21"/>
              </w:rPr>
            </w:pPr>
            <w:r>
              <w:rPr>
                <w:rFonts w:ascii="仿宋_GB2312" w:eastAsia="仿宋_GB2312" w:hAnsi="仿宋_GB2312" w:cs="仿宋_GB2312" w:hint="eastAsia"/>
                <w:b/>
                <w:szCs w:val="21"/>
              </w:rPr>
              <w:t>竞赛时间</w:t>
            </w:r>
          </w:p>
        </w:tc>
        <w:tc>
          <w:tcPr>
            <w:tcW w:w="1902"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1703D1" w:rsidRDefault="00FB5C6D">
            <w:pPr>
              <w:jc w:val="center"/>
              <w:rPr>
                <w:rFonts w:ascii="仿宋_GB2312" w:eastAsia="仿宋_GB2312" w:hAnsi="仿宋_GB2312" w:cs="仿宋_GB2312"/>
                <w:b/>
                <w:szCs w:val="21"/>
              </w:rPr>
            </w:pPr>
            <w:r>
              <w:rPr>
                <w:rFonts w:ascii="仿宋_GB2312" w:eastAsia="仿宋_GB2312" w:hAnsi="仿宋_GB2312" w:cs="仿宋_GB2312" w:hint="eastAsia"/>
                <w:b/>
                <w:szCs w:val="21"/>
              </w:rPr>
              <w:t>竞赛方式</w:t>
            </w:r>
          </w:p>
        </w:tc>
      </w:tr>
      <w:tr w:rsidR="008434BB" w:rsidTr="008434BB">
        <w:trPr>
          <w:trHeight w:val="299"/>
          <w:jc w:val="center"/>
        </w:trPr>
        <w:tc>
          <w:tcPr>
            <w:tcW w:w="1440"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color w:val="000000" w:themeColor="text1"/>
                <w:szCs w:val="21"/>
              </w:rPr>
            </w:pPr>
            <w:r>
              <w:rPr>
                <w:rFonts w:ascii="仿宋_GB2312" w:eastAsia="仿宋_GB2312" w:hAnsi="仿宋_GB2312" w:cs="仿宋_GB2312" w:hint="eastAsia"/>
                <w:bCs/>
                <w:color w:val="000000" w:themeColor="text1"/>
                <w:szCs w:val="21"/>
              </w:rPr>
              <w:t>方案策划</w:t>
            </w:r>
          </w:p>
        </w:tc>
        <w:tc>
          <w:tcPr>
            <w:tcW w:w="284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r>
              <w:rPr>
                <w:rFonts w:ascii="仿宋_GB2312" w:eastAsia="仿宋_GB2312" w:hAnsi="仿宋_GB2312" w:cs="仿宋_GB2312" w:hint="eastAsia"/>
                <w:bCs/>
                <w:szCs w:val="21"/>
              </w:rPr>
              <w:t>方案撰写与新媒体营销</w:t>
            </w:r>
          </w:p>
        </w:tc>
        <w:tc>
          <w:tcPr>
            <w:tcW w:w="994"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797D1E">
            <w:pPr>
              <w:jc w:val="center"/>
              <w:rPr>
                <w:rFonts w:ascii="仿宋_GB2312" w:eastAsia="仿宋_GB2312" w:hAnsi="仿宋_GB2312" w:cs="仿宋_GB2312"/>
                <w:bCs/>
                <w:szCs w:val="21"/>
              </w:rPr>
            </w:pPr>
            <w:r>
              <w:rPr>
                <w:rFonts w:ascii="仿宋_GB2312" w:eastAsia="仿宋_GB2312" w:hAnsi="仿宋_GB2312" w:cs="仿宋_GB2312" w:hint="eastAsia"/>
                <w:bCs/>
                <w:szCs w:val="21"/>
              </w:rPr>
              <w:t>6</w:t>
            </w:r>
            <w:r w:rsidR="008434BB">
              <w:rPr>
                <w:rFonts w:ascii="仿宋_GB2312" w:eastAsia="仿宋_GB2312" w:hAnsi="仿宋_GB2312" w:cs="仿宋_GB2312" w:hint="eastAsia"/>
                <w:bCs/>
                <w:szCs w:val="21"/>
              </w:rPr>
              <w:t>0</w:t>
            </w:r>
          </w:p>
        </w:tc>
        <w:tc>
          <w:tcPr>
            <w:tcW w:w="1857"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r>
              <w:rPr>
                <w:rFonts w:ascii="仿宋_GB2312" w:eastAsia="仿宋_GB2312" w:hAnsi="仿宋_GB2312" w:cs="仿宋_GB2312" w:hint="eastAsia"/>
                <w:bCs/>
                <w:szCs w:val="21"/>
              </w:rPr>
              <w:t>90分钟</w:t>
            </w:r>
          </w:p>
        </w:tc>
        <w:tc>
          <w:tcPr>
            <w:tcW w:w="190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rsidP="001A1F91">
            <w:pPr>
              <w:jc w:val="center"/>
              <w:rPr>
                <w:rFonts w:ascii="仿宋_GB2312" w:eastAsia="仿宋_GB2312" w:hAnsi="仿宋_GB2312" w:cs="仿宋_GB2312"/>
                <w:bCs/>
                <w:szCs w:val="21"/>
              </w:rPr>
            </w:pPr>
            <w:r>
              <w:rPr>
                <w:rFonts w:ascii="仿宋_GB2312" w:eastAsia="仿宋_GB2312" w:hAnsi="仿宋_GB2312" w:cs="仿宋_GB2312" w:hint="eastAsia"/>
                <w:bCs/>
                <w:szCs w:val="21"/>
              </w:rPr>
              <w:t>成员分工合作</w:t>
            </w:r>
          </w:p>
        </w:tc>
      </w:tr>
      <w:tr w:rsidR="008434BB" w:rsidTr="008434BB">
        <w:trPr>
          <w:trHeight w:val="263"/>
          <w:jc w:val="center"/>
        </w:trPr>
        <w:tc>
          <w:tcPr>
            <w:tcW w:w="1440" w:type="dxa"/>
            <w:vMerge/>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color w:val="000000" w:themeColor="text1"/>
                <w:szCs w:val="21"/>
              </w:rPr>
            </w:pPr>
          </w:p>
        </w:tc>
        <w:tc>
          <w:tcPr>
            <w:tcW w:w="284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r>
              <w:rPr>
                <w:rFonts w:ascii="仿宋_GB2312" w:eastAsia="仿宋_GB2312" w:hAnsi="仿宋_GB2312" w:cs="仿宋_GB2312" w:hint="eastAsia"/>
                <w:bCs/>
                <w:szCs w:val="21"/>
              </w:rPr>
              <w:t>方案汇报与展示</w:t>
            </w:r>
          </w:p>
        </w:tc>
        <w:tc>
          <w:tcPr>
            <w:tcW w:w="994" w:type="dxa"/>
            <w:vMerge/>
            <w:tcBorders>
              <w:top w:val="single" w:sz="6" w:space="0" w:color="CBCDD1"/>
              <w:left w:val="single" w:sz="6" w:space="0" w:color="CBCDD1"/>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p>
        </w:tc>
        <w:tc>
          <w:tcPr>
            <w:tcW w:w="1857"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r>
              <w:rPr>
                <w:rFonts w:ascii="仿宋_GB2312" w:eastAsia="仿宋_GB2312" w:hAnsi="仿宋_GB2312" w:cs="仿宋_GB2312" w:hint="eastAsia"/>
                <w:bCs/>
                <w:szCs w:val="21"/>
              </w:rPr>
              <w:t>每队1</w:t>
            </w:r>
            <w:r>
              <w:rPr>
                <w:rFonts w:ascii="仿宋_GB2312" w:eastAsia="仿宋_GB2312" w:hAnsi="仿宋_GB2312" w:cs="仿宋_GB2312"/>
                <w:bCs/>
                <w:szCs w:val="21"/>
              </w:rPr>
              <w:t>0</w:t>
            </w:r>
            <w:r>
              <w:rPr>
                <w:rFonts w:ascii="仿宋_GB2312" w:eastAsia="仿宋_GB2312" w:hAnsi="仿宋_GB2312" w:cs="仿宋_GB2312" w:hint="eastAsia"/>
                <w:bCs/>
                <w:szCs w:val="21"/>
              </w:rPr>
              <w:t>分钟</w:t>
            </w:r>
          </w:p>
        </w:tc>
        <w:tc>
          <w:tcPr>
            <w:tcW w:w="190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rsidP="001A1F91">
            <w:pPr>
              <w:jc w:val="center"/>
              <w:rPr>
                <w:rFonts w:ascii="仿宋_GB2312" w:eastAsia="仿宋_GB2312" w:hAnsi="仿宋_GB2312" w:cs="仿宋_GB2312"/>
                <w:bCs/>
                <w:szCs w:val="21"/>
              </w:rPr>
            </w:pPr>
            <w:r>
              <w:rPr>
                <w:rFonts w:ascii="仿宋_GB2312" w:eastAsia="仿宋_GB2312" w:hAnsi="仿宋_GB2312" w:cs="仿宋_GB2312" w:hint="eastAsia"/>
                <w:bCs/>
                <w:szCs w:val="21"/>
              </w:rPr>
              <w:t>成员分工合作</w:t>
            </w:r>
          </w:p>
        </w:tc>
      </w:tr>
      <w:tr w:rsidR="008434BB" w:rsidTr="008434BB">
        <w:trPr>
          <w:trHeight w:val="371"/>
          <w:jc w:val="center"/>
        </w:trPr>
        <w:tc>
          <w:tcPr>
            <w:tcW w:w="4288" w:type="dxa"/>
            <w:gridSpan w:val="2"/>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r>
              <w:rPr>
                <w:rFonts w:ascii="仿宋_GB2312" w:eastAsia="仿宋_GB2312" w:hAnsi="仿宋_GB2312" w:cs="仿宋_GB2312" w:hint="eastAsia"/>
                <w:bCs/>
                <w:szCs w:val="21"/>
              </w:rPr>
              <w:t>数字营销</w:t>
            </w:r>
          </w:p>
        </w:tc>
        <w:tc>
          <w:tcPr>
            <w:tcW w:w="994"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797D1E">
            <w:pPr>
              <w:jc w:val="center"/>
              <w:rPr>
                <w:rFonts w:ascii="仿宋_GB2312" w:eastAsia="仿宋_GB2312" w:hAnsi="仿宋_GB2312" w:cs="仿宋_GB2312"/>
                <w:bCs/>
                <w:szCs w:val="21"/>
              </w:rPr>
            </w:pPr>
            <w:r>
              <w:rPr>
                <w:rFonts w:ascii="仿宋_GB2312" w:eastAsia="仿宋_GB2312" w:hAnsi="仿宋_GB2312" w:cs="仿宋_GB2312" w:hint="eastAsia"/>
                <w:bCs/>
                <w:szCs w:val="21"/>
              </w:rPr>
              <w:t>4</w:t>
            </w:r>
            <w:r w:rsidR="008434BB">
              <w:rPr>
                <w:rFonts w:ascii="仿宋_GB2312" w:eastAsia="仿宋_GB2312" w:hAnsi="仿宋_GB2312" w:cs="仿宋_GB2312" w:hint="eastAsia"/>
                <w:bCs/>
                <w:szCs w:val="21"/>
              </w:rPr>
              <w:t>0</w:t>
            </w:r>
          </w:p>
        </w:tc>
        <w:tc>
          <w:tcPr>
            <w:tcW w:w="1857"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r>
              <w:rPr>
                <w:rFonts w:ascii="仿宋_GB2312" w:eastAsia="仿宋_GB2312" w:hAnsi="仿宋_GB2312" w:cs="仿宋_GB2312" w:hint="eastAsia"/>
                <w:bCs/>
                <w:szCs w:val="21"/>
              </w:rPr>
              <w:t>180分钟</w:t>
            </w:r>
          </w:p>
        </w:tc>
        <w:tc>
          <w:tcPr>
            <w:tcW w:w="190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8434BB" w:rsidRDefault="008434BB">
            <w:pPr>
              <w:jc w:val="center"/>
              <w:rPr>
                <w:rFonts w:ascii="仿宋_GB2312" w:eastAsia="仿宋_GB2312" w:hAnsi="仿宋_GB2312" w:cs="仿宋_GB2312"/>
                <w:bCs/>
                <w:szCs w:val="21"/>
              </w:rPr>
            </w:pPr>
            <w:r>
              <w:rPr>
                <w:rFonts w:ascii="仿宋_GB2312" w:eastAsia="仿宋_GB2312" w:hAnsi="仿宋_GB2312" w:cs="仿宋_GB2312" w:hint="eastAsia"/>
                <w:bCs/>
                <w:szCs w:val="21"/>
              </w:rPr>
              <w:t>成员分工合作</w:t>
            </w:r>
          </w:p>
        </w:tc>
      </w:tr>
    </w:tbl>
    <w:p w:rsidR="001703D1" w:rsidRDefault="001703D1"/>
    <w:p w:rsidR="001703D1" w:rsidRDefault="00FB5C6D">
      <w:pPr>
        <w:pStyle w:val="1"/>
        <w:spacing w:before="340" w:after="330" w:line="360" w:lineRule="auto"/>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sz w:val="44"/>
        </w:rPr>
        <w:t>一、方案策划</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无策划，不营销。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养。</w:t>
      </w:r>
    </w:p>
    <w:p w:rsidR="001703D1" w:rsidRDefault="00FB5C6D">
      <w:pPr>
        <w:pStyle w:val="2"/>
        <w:rPr>
          <w:rFonts w:ascii="仿宋_GB2312" w:eastAsia="仿宋_GB2312" w:hAnsi="仿宋_GB2312" w:cs="仿宋_GB2312"/>
        </w:rPr>
      </w:pPr>
      <w:r>
        <w:rPr>
          <w:rFonts w:ascii="仿宋_GB2312" w:eastAsia="仿宋_GB2312" w:hAnsi="仿宋_GB2312" w:cs="仿宋_GB2312" w:hint="eastAsia"/>
        </w:rPr>
        <w:t>（一）任务目标</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根据市场环境现状，围绕某一企业，制定品牌战略规划方案，结合特定营销节点制定营销活动策划方案，完成两个方案的Word文档撰写；制作涵盖品牌战</w:t>
      </w:r>
      <w:r>
        <w:rPr>
          <w:rFonts w:ascii="仿宋_GB2312" w:eastAsia="仿宋_GB2312" w:hAnsi="仿宋_GB2312" w:cs="仿宋_GB2312" w:hint="eastAsia"/>
          <w:sz w:val="24"/>
        </w:rPr>
        <w:lastRenderedPageBreak/>
        <w:t>略规划和营销活动策划的汇报PPT；围绕“营销活动策划方案”中具体活动方案的内容，借助新媒体文案编辑工具，制作一篇图文并茂的宣传文案，达到品牌推广和产品促销活动宣传的目的；按要求进行品牌战略规划和营销活动策划方案的现场汇报与展示。主要达成以下几方面任务目标：</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1.能够根据企业品牌定位、市场环境及用户画像分析，制定并撰写品牌战略规划方案；</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2.能够根据背景资料，结合营销目标，精准定位受众群体，制定并撰写营销活动策划方案；</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3.能够根据新媒体营销策划方法，依据品牌营销活动方案，制作图文并茂的宣传文案，包含标题、正文、封面等内容，实现品牌宣传、产品推广的目的；</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4.能够依托品牌战略规划方案和营销活动策划方案内容制作汇报PPT，做好团队分工，合作完成汇报与展示。</w:t>
      </w:r>
    </w:p>
    <w:p w:rsidR="001703D1" w:rsidRDefault="00FB5C6D">
      <w:pPr>
        <w:pStyle w:val="2"/>
        <w:rPr>
          <w:rFonts w:ascii="仿宋_GB2312" w:eastAsia="仿宋_GB2312" w:hAnsi="仿宋_GB2312" w:cs="仿宋_GB2312"/>
        </w:rPr>
      </w:pPr>
      <w:r>
        <w:rPr>
          <w:rFonts w:ascii="仿宋_GB2312" w:eastAsia="仿宋_GB2312" w:hAnsi="仿宋_GB2312" w:cs="仿宋_GB2312" w:hint="eastAsia"/>
        </w:rPr>
        <w:t>（二）任务背景</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冠生园创建于一九一五年，是中国民族工业的名牌老字号企业。上海冠生园食品有限公司是由光明食品集团所属上海梅林正广和股份有限公司100%控股。公司总部位于上海市中心昌平路，公司下属企业主要有上海冠生园供销有限公司、上海冠生园食品有限公司奉贤分公司、上海冠生园蜂制品有限公司、上海冠生园华佗酿酒有限公司、上海冠生园天厨调味品有限公司、上海冠生园益民食品有限公司、上海冠生园国际贸易有限公司、上海工微所科技有限公司、上海市食品开发有限公司等。生产基地主要集中于上海星火开发区、松江及青浦工业园区内。</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冠生园在全国各大省市建立了20多个销售中心，形成2000余个销售网点。与100多家国外经销商建立长期业务往来关系，并在五十多个国家和地区注册了商标。冠生园的科研机构为市级技术中心，并通过了国家实验室认可，同时拥有多项技术发明专利。</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公司目前主要生产和经营糖果、蜂制品、保健酒、面制品和调味品等五大类产品，其中明星产品大白兔糖果和冠生园蜂蜜的全国和上海市场占有率长期位居领先地位。</w:t>
      </w:r>
    </w:p>
    <w:p w:rsidR="001703D1" w:rsidRDefault="00FB5C6D">
      <w:pPr>
        <w:spacing w:line="360" w:lineRule="auto"/>
        <w:ind w:firstLineChars="200" w:firstLine="482"/>
        <w:rPr>
          <w:rFonts w:ascii="仿宋_GB2312" w:eastAsia="仿宋_GB2312" w:hAnsi="仿宋_GB2312" w:cs="仿宋_GB2312"/>
          <w:color w:val="000000" w:themeColor="text1"/>
          <w:sz w:val="24"/>
        </w:rPr>
      </w:pPr>
      <w:r>
        <w:rPr>
          <w:rFonts w:ascii="仿宋_GB2312" w:eastAsia="仿宋_GB2312" w:hAnsi="仿宋_GB2312" w:cs="仿宋_GB2312" w:hint="eastAsia"/>
          <w:b/>
          <w:color w:val="000000" w:themeColor="text1"/>
          <w:sz w:val="24"/>
        </w:rPr>
        <w:t>经营理念：</w:t>
      </w:r>
      <w:r>
        <w:rPr>
          <w:rFonts w:ascii="仿宋_GB2312" w:eastAsia="仿宋_GB2312" w:hAnsi="仿宋_GB2312" w:cs="仿宋_GB2312" w:hint="eastAsia"/>
          <w:color w:val="000000" w:themeColor="text1"/>
          <w:sz w:val="24"/>
        </w:rPr>
        <w:t>绿色、无边界、永续经营</w:t>
      </w:r>
    </w:p>
    <w:p w:rsidR="001703D1" w:rsidRDefault="00FB5C6D">
      <w:pPr>
        <w:spacing w:line="360" w:lineRule="auto"/>
        <w:ind w:firstLineChars="200" w:firstLine="482"/>
        <w:rPr>
          <w:rFonts w:ascii="仿宋_GB2312" w:eastAsia="仿宋_GB2312" w:hAnsi="仿宋_GB2312" w:cs="仿宋_GB2312"/>
          <w:color w:val="000000" w:themeColor="text1"/>
          <w:sz w:val="24"/>
        </w:rPr>
      </w:pPr>
      <w:r>
        <w:rPr>
          <w:rFonts w:ascii="仿宋_GB2312" w:eastAsia="仿宋_GB2312" w:hAnsi="仿宋_GB2312" w:cs="仿宋_GB2312" w:hint="eastAsia"/>
          <w:b/>
          <w:color w:val="000000" w:themeColor="text1"/>
          <w:sz w:val="24"/>
        </w:rPr>
        <w:lastRenderedPageBreak/>
        <w:t>企业精神：</w:t>
      </w:r>
      <w:r>
        <w:rPr>
          <w:rFonts w:ascii="仿宋_GB2312" w:eastAsia="仿宋_GB2312" w:hAnsi="仿宋_GB2312" w:cs="仿宋_GB2312" w:hint="eastAsia"/>
          <w:color w:val="000000" w:themeColor="text1"/>
          <w:sz w:val="24"/>
        </w:rPr>
        <w:t>品争冠、业求生、人兴园</w:t>
      </w:r>
    </w:p>
    <w:p w:rsidR="001703D1" w:rsidRDefault="00FB5C6D">
      <w:pPr>
        <w:spacing w:line="360" w:lineRule="auto"/>
        <w:ind w:firstLineChars="200" w:firstLine="482"/>
        <w:rPr>
          <w:rFonts w:ascii="仿宋_GB2312" w:eastAsia="仿宋_GB2312" w:hAnsi="仿宋_GB2312" w:cs="仿宋_GB2312"/>
          <w:b/>
          <w:color w:val="000000" w:themeColor="text1"/>
          <w:sz w:val="24"/>
        </w:rPr>
      </w:pPr>
      <w:r>
        <w:rPr>
          <w:rFonts w:ascii="仿宋_GB2312" w:eastAsia="仿宋_GB2312" w:hAnsi="仿宋_GB2312" w:cs="仿宋_GB2312" w:hint="eastAsia"/>
          <w:b/>
          <w:color w:val="000000" w:themeColor="text1"/>
          <w:sz w:val="24"/>
        </w:rPr>
        <w:t>品牌logo：</w:t>
      </w:r>
    </w:p>
    <w:p w:rsidR="001703D1" w:rsidRDefault="00FB5C6D">
      <w:pPr>
        <w:spacing w:line="360" w:lineRule="auto"/>
        <w:jc w:val="center"/>
        <w:rPr>
          <w:rFonts w:ascii="仿宋_GB2312" w:eastAsia="仿宋_GB2312" w:hAnsi="仿宋_GB2312" w:cs="仿宋_GB2312"/>
          <w:color w:val="000000" w:themeColor="text1"/>
          <w:sz w:val="28"/>
          <w:szCs w:val="28"/>
        </w:rPr>
      </w:pPr>
      <w:r>
        <w:rPr>
          <w:rFonts w:ascii="仿宋_GB2312" w:eastAsia="仿宋_GB2312" w:hAnsi="仿宋_GB2312" w:cs="仿宋_GB2312" w:hint="eastAsia"/>
          <w:b/>
          <w:noProof/>
          <w:sz w:val="24"/>
        </w:rPr>
        <w:drawing>
          <wp:inline distT="0" distB="0" distL="0" distR="0">
            <wp:extent cx="1628775" cy="1065530"/>
            <wp:effectExtent l="0" t="0" r="0" b="0"/>
            <wp:docPr id="35" name="picture" descr="descript"/>
            <wp:cNvGraphicFramePr/>
            <a:graphic xmlns:a="http://schemas.openxmlformats.org/drawingml/2006/main">
              <a:graphicData uri="http://schemas.openxmlformats.org/drawingml/2006/picture">
                <pic:pic xmlns:pic="http://schemas.openxmlformats.org/drawingml/2006/picture">
                  <pic:nvPicPr>
                    <pic:cNvPr id="35" name="picture" descr="descript"/>
                    <pic:cNvPicPr/>
                  </pic:nvPicPr>
                  <pic:blipFill>
                    <a:blip r:embed="rId7" cstate="print"/>
                    <a:srcRect/>
                    <a:stretch>
                      <a:fillRect/>
                    </a:stretch>
                  </pic:blipFill>
                  <pic:spPr>
                    <a:xfrm>
                      <a:off x="0" y="0"/>
                      <a:ext cx="1628775" cy="1065765"/>
                    </a:xfrm>
                    <a:prstGeom prst="rect">
                      <a:avLst/>
                    </a:prstGeom>
                  </pic:spPr>
                </pic:pic>
              </a:graphicData>
            </a:graphic>
          </wp:inline>
        </w:drawing>
      </w:r>
      <w:r>
        <w:rPr>
          <w:rFonts w:ascii="Times New Roman" w:eastAsia="Times New Roman" w:hAnsi="Times New Roman" w:cs="Times New Roman"/>
          <w:snapToGrid w:val="0"/>
          <w:color w:val="000000"/>
          <w:w w:val="0"/>
          <w:kern w:val="0"/>
          <w:sz w:val="0"/>
          <w:szCs w:val="0"/>
          <w:u w:color="000000"/>
          <w:shd w:val="clear" w:color="000000" w:fill="000000"/>
          <w:lang w:val="zh-CN" w:bidi="zh-CN"/>
        </w:rPr>
        <w:t xml:space="preserve"> </w:t>
      </w:r>
      <w:r>
        <w:rPr>
          <w:rFonts w:ascii="仿宋_GB2312" w:eastAsia="仿宋_GB2312" w:hAnsi="仿宋_GB2312" w:cs="仿宋_GB2312"/>
          <w:noProof/>
          <w:color w:val="000000" w:themeColor="text1"/>
          <w:sz w:val="28"/>
          <w:szCs w:val="28"/>
        </w:rPr>
        <w:drawing>
          <wp:inline distT="0" distB="0" distL="0" distR="0">
            <wp:extent cx="1543050" cy="10350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893"/>
                    <a:stretch>
                      <a:fillRect/>
                    </a:stretch>
                  </pic:blipFill>
                  <pic:spPr>
                    <a:xfrm>
                      <a:off x="0" y="0"/>
                      <a:ext cx="1563823" cy="1049604"/>
                    </a:xfrm>
                    <a:prstGeom prst="rect">
                      <a:avLst/>
                    </a:prstGeom>
                    <a:noFill/>
                    <a:ln>
                      <a:noFill/>
                    </a:ln>
                  </pic:spPr>
                </pic:pic>
              </a:graphicData>
            </a:graphic>
          </wp:inline>
        </w:drawing>
      </w:r>
      <w:r>
        <w:t xml:space="preserve"> </w:t>
      </w:r>
      <w:r>
        <w:rPr>
          <w:noProof/>
        </w:rPr>
        <w:drawing>
          <wp:inline distT="0" distB="0" distL="0" distR="0">
            <wp:extent cx="1536700" cy="1172845"/>
            <wp:effectExtent l="0" t="0" r="635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cstate="print"/>
                    <a:stretch>
                      <a:fillRect/>
                    </a:stretch>
                  </pic:blipFill>
                  <pic:spPr>
                    <a:xfrm>
                      <a:off x="0" y="0"/>
                      <a:ext cx="1539073" cy="1174682"/>
                    </a:xfrm>
                    <a:prstGeom prst="rect">
                      <a:avLst/>
                    </a:prstGeom>
                  </pic:spPr>
                </pic:pic>
              </a:graphicData>
            </a:graphic>
          </wp:inline>
        </w:drawing>
      </w:r>
    </w:p>
    <w:p w:rsidR="001703D1" w:rsidRDefault="00FB5C6D">
      <w:pPr>
        <w:spacing w:line="360" w:lineRule="auto"/>
        <w:ind w:firstLineChars="200" w:firstLine="482"/>
        <w:rPr>
          <w:rFonts w:ascii="仿宋_GB2312" w:eastAsia="仿宋_GB2312" w:hAnsi="仿宋_GB2312" w:cs="仿宋_GB2312"/>
          <w:b/>
          <w:bCs/>
          <w:color w:val="000000" w:themeColor="text1"/>
          <w:sz w:val="24"/>
        </w:rPr>
      </w:pPr>
      <w:r>
        <w:rPr>
          <w:rFonts w:ascii="仿宋_GB2312" w:eastAsia="仿宋_GB2312" w:hAnsi="仿宋_GB2312" w:cs="仿宋_GB2312" w:hint="eastAsia"/>
          <w:b/>
          <w:bCs/>
          <w:color w:val="000000" w:themeColor="text1"/>
          <w:sz w:val="24"/>
        </w:rPr>
        <w:t>品牌故事：</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1915年，28岁的广东佛山人冼炳成在上海老城厢九亩地露香园路（今上海黄浦区大境路）开了一家名叫“小雅园”的食品店。</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冼冠生倾力经营，确立了“扬己所长”、“人无我有”、“真工实料”的经营思想。1918年，为适应发展需要，改组为冠生园股份有限公司，公司投资十万元国币，开设了局门路的工厂，扩大糖果、饼干的生产。一改本市自产自销为主的局面，面向外地推广产品。</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noProof/>
          <w:color w:val="000000" w:themeColor="text1"/>
          <w:sz w:val="24"/>
        </w:rPr>
        <w:drawing>
          <wp:inline distT="0" distB="0" distL="0" distR="0">
            <wp:extent cx="2599055" cy="1593215"/>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0" cstate="print"/>
                    <a:srcRect/>
                    <a:stretch>
                      <a:fillRect/>
                    </a:stretch>
                  </pic:blipFill>
                  <pic:spPr>
                    <a:xfrm>
                      <a:off x="0" y="0"/>
                      <a:ext cx="2599309" cy="1593570"/>
                    </a:xfrm>
                    <a:prstGeom prst="rect">
                      <a:avLst/>
                    </a:prstGeom>
                    <a:solidFill>
                      <a:srgbClr val="FFFFFF"/>
                    </a:solidFill>
                  </pic:spPr>
                </pic:pic>
              </a:graphicData>
            </a:graphic>
          </wp:inline>
        </w:drawing>
      </w:r>
      <w:r>
        <w:rPr>
          <w:rFonts w:ascii="仿宋_GB2312" w:eastAsia="仿宋_GB2312" w:hAnsi="仿宋_GB2312" w:cs="仿宋_GB2312" w:hint="eastAsia"/>
          <w:noProof/>
          <w:color w:val="000000" w:themeColor="text1"/>
          <w:sz w:val="24"/>
        </w:rPr>
        <w:drawing>
          <wp:inline distT="0" distB="0" distL="0" distR="0">
            <wp:extent cx="1905000" cy="1588770"/>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1" cstate="print"/>
                    <a:srcRect/>
                    <a:stretch>
                      <a:fillRect/>
                    </a:stretch>
                  </pic:blipFill>
                  <pic:spPr>
                    <a:xfrm>
                      <a:off x="0" y="0"/>
                      <a:ext cx="1905000" cy="1589346"/>
                    </a:xfrm>
                    <a:prstGeom prst="rect">
                      <a:avLst/>
                    </a:prstGeom>
                  </pic:spPr>
                </pic:pic>
              </a:graphicData>
            </a:graphic>
          </wp:inline>
        </w:drawing>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1928年，冼冠生将冠生园开到了上海最繁华的南京路上。同时，沿长江而上，陆续在南京、天津、武昌、汉口等地创设分店或分公司。</w:t>
      </w:r>
    </w:p>
    <w:p w:rsidR="001703D1" w:rsidRDefault="00FB5C6D">
      <w:pPr>
        <w:spacing w:line="360" w:lineRule="auto"/>
        <w:jc w:val="center"/>
        <w:rPr>
          <w:rFonts w:ascii="仿宋_GB2312" w:eastAsia="仿宋_GB2312" w:hAnsi="仿宋_GB2312" w:cs="仿宋_GB2312"/>
          <w:color w:val="000000" w:themeColor="text1"/>
          <w:sz w:val="24"/>
        </w:rPr>
      </w:pPr>
      <w:r>
        <w:rPr>
          <w:rFonts w:ascii="仿宋_GB2312" w:eastAsia="仿宋_GB2312" w:hAnsi="仿宋_GB2312" w:cs="仿宋_GB2312" w:hint="eastAsia"/>
          <w:noProof/>
          <w:color w:val="000000" w:themeColor="text1"/>
          <w:sz w:val="24"/>
        </w:rPr>
        <w:drawing>
          <wp:inline distT="0" distB="0" distL="0" distR="0">
            <wp:extent cx="2195195" cy="1325245"/>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2" cstate="print"/>
                    <a:srcRect/>
                    <a:stretch>
                      <a:fillRect/>
                    </a:stretch>
                  </pic:blipFill>
                  <pic:spPr>
                    <a:xfrm>
                      <a:off x="0" y="0"/>
                      <a:ext cx="2195741" cy="1325660"/>
                    </a:xfrm>
                    <a:prstGeom prst="rect">
                      <a:avLst/>
                    </a:prstGeom>
                  </pic:spPr>
                </pic:pic>
              </a:graphicData>
            </a:graphic>
          </wp:inline>
        </w:drawing>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1932年，冠生园在上海漕河泾购地40余亩，建立起新的厂房，生产饮料、饼干、糖果、面包、糕点和罐头，并引进生产设备，提高生产能力。</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后来冠生园分店到处开花……</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1943年，“ABC糖果厂经过精心研发，创制出自家品牌的国产奶糖。包装使</w:t>
      </w:r>
      <w:r>
        <w:rPr>
          <w:rFonts w:ascii="仿宋_GB2312" w:eastAsia="仿宋_GB2312" w:hAnsi="仿宋_GB2312" w:cs="仿宋_GB2312" w:hint="eastAsia"/>
          <w:color w:val="000000" w:themeColor="text1"/>
          <w:sz w:val="24"/>
        </w:rPr>
        <w:lastRenderedPageBreak/>
        <w:t>用红色米老鼠图案，命名为“ABC米老鼠糖”。1950年，“ABC糖果厂”被收归国有，更名为“爱民糖果厂”，后并入冠生园。主要产品依然为“米老鼠奶糖”。 因米老鼠给人以崇洋媚外的感觉，从市场角度考虑，由爱民糖果厂的美术设计师王纯言设计新的产品包装。经过数稿精心设计，全新的“大白兔”横空出世。</w:t>
      </w:r>
    </w:p>
    <w:p w:rsidR="001703D1" w:rsidRDefault="00FB5C6D">
      <w:pPr>
        <w:spacing w:line="360" w:lineRule="auto"/>
        <w:rPr>
          <w:rFonts w:ascii="仿宋_GB2312" w:eastAsia="仿宋_GB2312" w:hAnsi="仿宋_GB2312" w:cs="仿宋_GB2312"/>
          <w:color w:val="000000" w:themeColor="text1"/>
          <w:sz w:val="24"/>
        </w:rPr>
      </w:pPr>
      <w:r>
        <w:rPr>
          <w:rFonts w:ascii="仿宋_GB2312" w:eastAsia="仿宋_GB2312" w:hAnsi="仿宋_GB2312" w:cs="仿宋_GB2312" w:hint="eastAsia"/>
          <w:noProof/>
          <w:color w:val="000000" w:themeColor="text1"/>
          <w:sz w:val="24"/>
        </w:rPr>
        <w:drawing>
          <wp:inline distT="0" distB="0" distL="0" distR="0">
            <wp:extent cx="5274310" cy="1652270"/>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3" cstate="print"/>
                    <a:stretch>
                      <a:fillRect/>
                    </a:stretch>
                  </pic:blipFill>
                  <pic:spPr>
                    <a:xfrm>
                      <a:off x="0" y="0"/>
                      <a:ext cx="5274310" cy="1652414"/>
                    </a:xfrm>
                    <a:prstGeom prst="rect">
                      <a:avLst/>
                    </a:prstGeom>
                  </pic:spPr>
                </pic:pic>
              </a:graphicData>
            </a:graphic>
          </wp:inline>
        </w:drawing>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1994年，冠生园第一家外地销售中心在哈尔滨成立；1995年与上海发酵视频公司合并；1996年上海冠生园统一字号。</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2000年，冠生园集约化管理纵深推进；2002年，“大白兔”奶糖生产线实现全自动改造，不断提高科技水平及劳动生产率，实现高效、绿色、节能和环保的目的。2006年，冠生园被认定为“中华老字号”企业。</w:t>
      </w:r>
    </w:p>
    <w:p w:rsidR="001703D1" w:rsidRDefault="00FB5C6D">
      <w:pPr>
        <w:spacing w:line="360" w:lineRule="auto"/>
        <w:jc w:val="center"/>
        <w:rPr>
          <w:rFonts w:ascii="仿宋_GB2312" w:eastAsia="仿宋_GB2312" w:hAnsi="仿宋_GB2312" w:cs="仿宋_GB2312"/>
        </w:rPr>
      </w:pPr>
      <w:r>
        <w:rPr>
          <w:rFonts w:ascii="仿宋_GB2312" w:eastAsia="仿宋_GB2312" w:hAnsi="仿宋_GB2312" w:cs="仿宋_GB2312" w:hint="eastAsia"/>
          <w:noProof/>
        </w:rPr>
        <w:drawing>
          <wp:inline distT="0" distB="0" distL="0" distR="0">
            <wp:extent cx="2447925" cy="1488440"/>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4" cstate="print"/>
                    <a:srcRect/>
                    <a:stretch>
                      <a:fillRect/>
                    </a:stretch>
                  </pic:blipFill>
                  <pic:spPr>
                    <a:xfrm>
                      <a:off x="0" y="0"/>
                      <a:ext cx="2447925" cy="1488944"/>
                    </a:xfrm>
                    <a:prstGeom prst="rect">
                      <a:avLst/>
                    </a:prstGeom>
                  </pic:spPr>
                </pic:pic>
              </a:graphicData>
            </a:graphic>
          </wp:inline>
        </w:drawing>
      </w:r>
      <w:r>
        <w:rPr>
          <w:rFonts w:ascii="仿宋_GB2312" w:eastAsia="仿宋_GB2312" w:hAnsi="仿宋_GB2312" w:cs="仿宋_GB2312" w:hint="eastAsia"/>
          <w:noProof/>
        </w:rPr>
        <w:drawing>
          <wp:inline distT="0" distB="0" distL="0" distR="0">
            <wp:extent cx="2414270" cy="1457325"/>
            <wp:effectExtent l="0" t="0" r="0" b="0"/>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5" cstate="print"/>
                    <a:srcRect/>
                    <a:stretch>
                      <a:fillRect/>
                    </a:stretch>
                  </pic:blipFill>
                  <pic:spPr>
                    <a:xfrm>
                      <a:off x="0" y="0"/>
                      <a:ext cx="2414647" cy="1457325"/>
                    </a:xfrm>
                    <a:prstGeom prst="rect">
                      <a:avLst/>
                    </a:prstGeom>
                  </pic:spPr>
                </pic:pic>
              </a:graphicData>
            </a:graphic>
          </wp:inline>
        </w:drawing>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2009年，“大白兔”品牌诞生五十周年。</w:t>
      </w:r>
    </w:p>
    <w:p w:rsidR="001703D1" w:rsidRDefault="00FB5C6D">
      <w:pPr>
        <w:spacing w:line="360" w:lineRule="auto"/>
        <w:jc w:val="center"/>
        <w:rPr>
          <w:rFonts w:ascii="仿宋_GB2312" w:eastAsia="仿宋_GB2312" w:hAnsi="仿宋_GB2312" w:cs="仿宋_GB2312"/>
        </w:rPr>
      </w:pPr>
      <w:r>
        <w:rPr>
          <w:rFonts w:ascii="仿宋_GB2312" w:eastAsia="仿宋_GB2312" w:hAnsi="仿宋_GB2312" w:cs="仿宋_GB2312" w:hint="eastAsia"/>
          <w:noProof/>
        </w:rPr>
        <w:drawing>
          <wp:inline distT="0" distB="0" distL="0" distR="0">
            <wp:extent cx="3848100" cy="1169035"/>
            <wp:effectExtent l="0" t="0" r="0" b="0"/>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6" cstate="print"/>
                    <a:srcRect/>
                    <a:stretch>
                      <a:fillRect/>
                    </a:stretch>
                  </pic:blipFill>
                  <pic:spPr>
                    <a:xfrm>
                      <a:off x="0" y="0"/>
                      <a:ext cx="3848100" cy="1169187"/>
                    </a:xfrm>
                    <a:prstGeom prst="rect">
                      <a:avLst/>
                    </a:prstGeom>
                  </pic:spPr>
                </pic:pic>
              </a:graphicData>
            </a:graphic>
          </wp:inline>
        </w:drawing>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后来冠生园营销模式逐步改革，现款销售成为新模式；2011年，根据上海市国资委加快推进国有资产资本证券化的要求下，冠生园主业经营性资产进入“上海梅林”，成为上市公司的一部分；大白兔、华佗和佛手通过商务部第二批老字号企业认定。冠生园品牌的核心价值融入到了“光明——我们共同的事业”</w:t>
      </w:r>
      <w:r>
        <w:rPr>
          <w:rFonts w:ascii="仿宋_GB2312" w:eastAsia="仿宋_GB2312" w:hAnsi="仿宋_GB2312" w:cs="仿宋_GB2312" w:hint="eastAsia"/>
          <w:color w:val="000000" w:themeColor="text1"/>
          <w:sz w:val="24"/>
        </w:rPr>
        <w:lastRenderedPageBreak/>
        <w:t>的战略理念当中。</w:t>
      </w:r>
    </w:p>
    <w:p w:rsidR="001703D1" w:rsidRDefault="00FB5C6D">
      <w:pPr>
        <w:spacing w:line="360" w:lineRule="auto"/>
        <w:ind w:firstLineChars="200" w:firstLine="482"/>
        <w:rPr>
          <w:rFonts w:ascii="仿宋_GB2312" w:eastAsia="仿宋_GB2312" w:hAnsi="仿宋_GB2312" w:cs="仿宋_GB2312"/>
          <w:color w:val="000000" w:themeColor="text1"/>
          <w:sz w:val="24"/>
        </w:rPr>
      </w:pPr>
      <w:r>
        <w:rPr>
          <w:rFonts w:ascii="仿宋_GB2312" w:eastAsia="仿宋_GB2312" w:hAnsi="仿宋_GB2312" w:cs="仿宋_GB2312" w:hint="eastAsia"/>
          <w:b/>
          <w:color w:val="000000" w:themeColor="text1"/>
          <w:sz w:val="24"/>
        </w:rPr>
        <w:t>公司的具体产品介绍如下：</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冠生园总部位于上海市静安区，生产基地主要集中于上海奉贤星火开发区和青浦工业园区内，拥有“冠生园”、“大白兔”、“佛手”、“华佗”等品牌，主要生产和经营糖果、蜂制品、面制品、调味品、酒类。</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产品规格一：大白兔奶糖原味袋装500g   建议售价：27.8元</w:t>
      </w:r>
    </w:p>
    <w:p w:rsidR="001703D1" w:rsidRDefault="00FB5C6D">
      <w:pPr>
        <w:spacing w:line="360" w:lineRule="auto"/>
        <w:ind w:firstLineChars="200" w:firstLine="480"/>
        <w:jc w:val="center"/>
        <w:rPr>
          <w:rFonts w:ascii="仿宋_GB2312" w:eastAsia="仿宋_GB2312" w:hAnsi="仿宋_GB2312" w:cs="仿宋_GB2312"/>
          <w:sz w:val="24"/>
        </w:rPr>
      </w:pPr>
      <w:r>
        <w:rPr>
          <w:rFonts w:ascii="仿宋_GB2312" w:eastAsia="仿宋_GB2312" w:hAnsi="仿宋_GB2312" w:cs="仿宋_GB2312" w:hint="eastAsia"/>
          <w:noProof/>
          <w:sz w:val="24"/>
        </w:rPr>
        <w:drawing>
          <wp:inline distT="0" distB="0" distL="0" distR="0">
            <wp:extent cx="1831975" cy="2543175"/>
            <wp:effectExtent l="0" t="0" r="0" b="0"/>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17" cstate="print"/>
                    <a:srcRect/>
                    <a:stretch>
                      <a:fillRect/>
                    </a:stretch>
                  </pic:blipFill>
                  <pic:spPr>
                    <a:xfrm>
                      <a:off x="0" y="0"/>
                      <a:ext cx="1832496" cy="2543175"/>
                    </a:xfrm>
                    <a:prstGeom prst="rect">
                      <a:avLst/>
                    </a:prstGeom>
                  </pic:spPr>
                </pic:pic>
              </a:graphicData>
            </a:graphic>
          </wp:inline>
        </w:drawing>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产品规格二：冠生园蜂蜜280g   建议售价：28.8元</w:t>
      </w:r>
    </w:p>
    <w:p w:rsidR="001703D1" w:rsidRDefault="00FB5C6D">
      <w:pPr>
        <w:spacing w:line="360" w:lineRule="auto"/>
        <w:ind w:firstLineChars="200" w:firstLine="420"/>
        <w:jc w:val="center"/>
        <w:rPr>
          <w:rFonts w:ascii="仿宋_GB2312" w:eastAsia="仿宋_GB2312" w:hAnsi="仿宋_GB2312" w:cs="仿宋_GB2312"/>
        </w:rPr>
      </w:pPr>
      <w:r>
        <w:rPr>
          <w:rFonts w:ascii="仿宋_GB2312" w:eastAsia="仿宋_GB2312" w:hAnsi="仿宋_GB2312" w:cs="仿宋_GB2312" w:hint="eastAsia"/>
          <w:noProof/>
        </w:rPr>
        <w:drawing>
          <wp:inline distT="0" distB="0" distL="0" distR="0">
            <wp:extent cx="1854835" cy="2000250"/>
            <wp:effectExtent l="0" t="0" r="0" b="0"/>
            <wp:docPr id="44" name="picture" descr="descript"/>
            <wp:cNvGraphicFramePr/>
            <a:graphic xmlns:a="http://schemas.openxmlformats.org/drawingml/2006/main">
              <a:graphicData uri="http://schemas.openxmlformats.org/drawingml/2006/picture">
                <pic:pic xmlns:pic="http://schemas.openxmlformats.org/drawingml/2006/picture">
                  <pic:nvPicPr>
                    <pic:cNvPr id="44" name="picture" descr="descript"/>
                    <pic:cNvPicPr/>
                  </pic:nvPicPr>
                  <pic:blipFill>
                    <a:blip r:embed="rId18" cstate="print"/>
                    <a:srcRect/>
                    <a:stretch>
                      <a:fillRect/>
                    </a:stretch>
                  </pic:blipFill>
                  <pic:spPr>
                    <a:xfrm>
                      <a:off x="0" y="0"/>
                      <a:ext cx="1855033" cy="2000250"/>
                    </a:xfrm>
                    <a:prstGeom prst="rect">
                      <a:avLst/>
                    </a:prstGeom>
                  </pic:spPr>
                </pic:pic>
              </a:graphicData>
            </a:graphic>
          </wp:inline>
        </w:drawing>
      </w:r>
    </w:p>
    <w:p w:rsidR="001703D1" w:rsidRDefault="00FB5C6D">
      <w:pPr>
        <w:pStyle w:val="2"/>
        <w:rPr>
          <w:rFonts w:ascii="仿宋_GB2312" w:eastAsia="仿宋_GB2312" w:hAnsi="仿宋_GB2312" w:cs="仿宋_GB2312"/>
        </w:rPr>
      </w:pPr>
      <w:r>
        <w:rPr>
          <w:rFonts w:ascii="仿宋_GB2312" w:eastAsia="仿宋_GB2312" w:hAnsi="仿宋_GB2312" w:cs="仿宋_GB2312" w:hint="eastAsia"/>
        </w:rPr>
        <w:t>（三）任务设计</w:t>
      </w:r>
    </w:p>
    <w:p w:rsidR="001703D1" w:rsidRDefault="00FB5C6D">
      <w:pPr>
        <w:pStyle w:val="3"/>
        <w:rPr>
          <w:rFonts w:ascii="仿宋_GB2312" w:eastAsia="仿宋_GB2312" w:hAnsi="仿宋_GB2312" w:cs="仿宋_GB2312"/>
          <w:color w:val="auto"/>
          <w:sz w:val="30"/>
          <w:szCs w:val="30"/>
        </w:rPr>
      </w:pPr>
      <w:r>
        <w:rPr>
          <w:rFonts w:ascii="仿宋_GB2312" w:eastAsia="仿宋_GB2312" w:hAnsi="仿宋_GB2312" w:cs="仿宋_GB2312" w:hint="eastAsia"/>
          <w:color w:val="auto"/>
          <w:sz w:val="30"/>
          <w:szCs w:val="30"/>
        </w:rPr>
        <w:t>任务1 品牌战略规划方案撰写</w:t>
      </w:r>
    </w:p>
    <w:p w:rsidR="001703D1" w:rsidRDefault="00FB5C6D">
      <w:pPr>
        <w:spacing w:line="360" w:lineRule="auto"/>
        <w:ind w:firstLine="420"/>
        <w:rPr>
          <w:rFonts w:ascii="仿宋_GB2312" w:eastAsia="仿宋_GB2312" w:hAnsi="仿宋_GB2312" w:cs="仿宋_GB2312"/>
          <w:sz w:val="24"/>
          <w:szCs w:val="21"/>
        </w:rPr>
      </w:pPr>
      <w:r>
        <w:rPr>
          <w:rFonts w:ascii="仿宋_GB2312" w:eastAsia="仿宋_GB2312" w:hAnsi="仿宋_GB2312" w:cs="仿宋_GB2312" w:hint="eastAsia"/>
          <w:sz w:val="24"/>
          <w:szCs w:val="21"/>
        </w:rPr>
        <w:t>品牌是驱动消费者认同的核心力量，是企业区别于竞争对手的核心标志。冠生园创建于一九一五年，是中国民族工业的名牌老字号企业。自品牌创立以来始终秉承“绿色、无边界、永续经营”的经营理念。如今，随着食品市场的竞争激</w:t>
      </w:r>
      <w:r>
        <w:rPr>
          <w:rFonts w:ascii="仿宋_GB2312" w:eastAsia="仿宋_GB2312" w:hAnsi="仿宋_GB2312" w:cs="仿宋_GB2312" w:hint="eastAsia"/>
          <w:sz w:val="24"/>
          <w:szCs w:val="21"/>
        </w:rPr>
        <w:lastRenderedPageBreak/>
        <w:t>烈程度的不断加剧，凸显品牌优势尤为重要。针对这一发展背景，</w:t>
      </w:r>
      <w:r>
        <w:rPr>
          <w:rFonts w:ascii="仿宋_GB2312" w:eastAsia="仿宋_GB2312" w:hAnsi="仿宋_GB2312" w:cs="仿宋_GB2312" w:hint="eastAsia"/>
          <w:sz w:val="24"/>
        </w:rPr>
        <w:t>上海冠生园食品有限公司</w:t>
      </w:r>
      <w:r>
        <w:rPr>
          <w:rFonts w:ascii="仿宋_GB2312" w:eastAsia="仿宋_GB2312" w:hAnsi="仿宋_GB2312" w:cs="仿宋_GB2312" w:hint="eastAsia"/>
          <w:sz w:val="24"/>
          <w:szCs w:val="21"/>
        </w:rPr>
        <w:t>将针对全新市场环境下消费者的新型需求，优化品牌建设，进行品牌发展战略规划，明确发展路径，建设具备文化底蕴的优质品牌。请以品牌优化和发展为目的，制定“</w:t>
      </w:r>
      <w:r>
        <w:rPr>
          <w:rFonts w:ascii="仿宋_GB2312" w:eastAsia="仿宋_GB2312" w:hAnsi="仿宋_GB2312" w:cs="仿宋_GB2312" w:hint="eastAsia"/>
          <w:sz w:val="24"/>
        </w:rPr>
        <w:t>冠生园</w:t>
      </w:r>
      <w:r>
        <w:rPr>
          <w:rFonts w:ascii="仿宋_GB2312" w:eastAsia="仿宋_GB2312" w:hAnsi="仿宋_GB2312" w:cs="仿宋_GB2312" w:hint="eastAsia"/>
          <w:sz w:val="24"/>
          <w:szCs w:val="21"/>
        </w:rPr>
        <w:t>”品牌战略规划方案（W</w:t>
      </w:r>
      <w:r>
        <w:rPr>
          <w:rFonts w:ascii="仿宋_GB2312" w:eastAsia="仿宋_GB2312" w:hAnsi="仿宋_GB2312" w:cs="仿宋_GB2312"/>
          <w:sz w:val="24"/>
          <w:szCs w:val="21"/>
        </w:rPr>
        <w:t>ord版</w:t>
      </w:r>
      <w:r>
        <w:rPr>
          <w:rFonts w:ascii="仿宋_GB2312" w:eastAsia="仿宋_GB2312" w:hAnsi="仿宋_GB2312" w:cs="仿宋_GB2312" w:hint="eastAsia"/>
          <w:sz w:val="24"/>
          <w:szCs w:val="21"/>
        </w:rPr>
        <w:t>）。</w:t>
      </w:r>
    </w:p>
    <w:p w:rsidR="001703D1" w:rsidRDefault="00FB5C6D">
      <w:pPr>
        <w:spacing w:line="360" w:lineRule="auto"/>
        <w:ind w:firstLineChars="200" w:firstLine="482"/>
        <w:rPr>
          <w:rFonts w:ascii="仿宋_GB2312" w:eastAsia="仿宋_GB2312" w:hAnsi="仿宋_GB2312" w:cs="仿宋_GB2312"/>
          <w:sz w:val="24"/>
          <w:szCs w:val="21"/>
        </w:rPr>
      </w:pPr>
      <w:r>
        <w:rPr>
          <w:rFonts w:ascii="仿宋_GB2312" w:eastAsia="仿宋_GB2312" w:hAnsi="仿宋_GB2312" w:cs="仿宋_GB2312" w:hint="eastAsia"/>
          <w:b/>
          <w:sz w:val="24"/>
          <w:szCs w:val="21"/>
        </w:rPr>
        <w:t>任务要求</w:t>
      </w:r>
      <w:r>
        <w:rPr>
          <w:rFonts w:ascii="仿宋_GB2312" w:eastAsia="仿宋_GB2312" w:hAnsi="仿宋_GB2312" w:cs="仿宋_GB2312" w:hint="eastAsia"/>
          <w:sz w:val="24"/>
          <w:szCs w:val="21"/>
        </w:rPr>
        <w:t>：</w:t>
      </w:r>
    </w:p>
    <w:p w:rsidR="001703D1" w:rsidRDefault="00FB5C6D">
      <w:pPr>
        <w:spacing w:line="360" w:lineRule="auto"/>
        <w:ind w:firstLineChars="200" w:firstLine="480"/>
        <w:rPr>
          <w:rFonts w:ascii="仿宋_GB2312" w:eastAsia="仿宋_GB2312" w:hAnsi="仿宋_GB2312" w:cs="仿宋_GB2312"/>
          <w:sz w:val="24"/>
          <w:szCs w:val="21"/>
        </w:rPr>
      </w:pPr>
      <w:r>
        <w:rPr>
          <w:rFonts w:ascii="仿宋_GB2312" w:eastAsia="仿宋_GB2312" w:hAnsi="仿宋_GB2312" w:cs="仿宋_GB2312" w:hint="eastAsia"/>
          <w:sz w:val="24"/>
          <w:szCs w:val="21"/>
        </w:rPr>
        <w:t>1.品牌战略规划方案需包含品牌成长总体规划、产品及服务创新规划、市场拓展及销售提升规划、品牌传播发展规划等，方案必须具有原创性，不可过多陈述企业现有的成就和做法；</w:t>
      </w:r>
    </w:p>
    <w:p w:rsidR="001703D1" w:rsidRDefault="00FB5C6D">
      <w:pPr>
        <w:spacing w:line="360" w:lineRule="auto"/>
        <w:ind w:firstLineChars="200" w:firstLine="480"/>
        <w:rPr>
          <w:rFonts w:ascii="仿宋_GB2312" w:eastAsia="仿宋_GB2312" w:hAnsi="仿宋_GB2312" w:cs="仿宋_GB2312"/>
          <w:sz w:val="24"/>
          <w:szCs w:val="21"/>
        </w:rPr>
      </w:pPr>
      <w:r>
        <w:rPr>
          <w:rFonts w:ascii="仿宋_GB2312" w:eastAsia="仿宋_GB2312" w:hAnsi="仿宋_GB2312" w:cs="仿宋_GB2312" w:hint="eastAsia"/>
          <w:sz w:val="24"/>
          <w:szCs w:val="21"/>
        </w:rPr>
        <w:t>2.品牌成长总体规划需明确品牌调性与产品定位，确定品牌发展阶段，划分各阶段品牌战略目标；</w:t>
      </w:r>
    </w:p>
    <w:p w:rsidR="001703D1" w:rsidRDefault="00FB5C6D">
      <w:pPr>
        <w:spacing w:line="360" w:lineRule="auto"/>
        <w:ind w:firstLineChars="200" w:firstLine="480"/>
        <w:rPr>
          <w:rFonts w:ascii="仿宋_GB2312" w:eastAsia="仿宋_GB2312" w:hAnsi="仿宋_GB2312" w:cs="仿宋_GB2312"/>
          <w:sz w:val="24"/>
          <w:szCs w:val="21"/>
        </w:rPr>
      </w:pPr>
      <w:r>
        <w:rPr>
          <w:rFonts w:ascii="仿宋_GB2312" w:eastAsia="仿宋_GB2312" w:hAnsi="仿宋_GB2312" w:cs="仿宋_GB2312" w:hint="eastAsia"/>
          <w:sz w:val="24"/>
          <w:szCs w:val="21"/>
        </w:rPr>
        <w:t>3.产品及服务创新规划需根据企业品牌定位，制定产品研发战略，进行产品与服务价格框架构思；</w:t>
      </w:r>
    </w:p>
    <w:p w:rsidR="001703D1" w:rsidRDefault="00FB5C6D">
      <w:pPr>
        <w:spacing w:line="360" w:lineRule="auto"/>
        <w:ind w:firstLineChars="200" w:firstLine="480"/>
        <w:rPr>
          <w:rFonts w:ascii="仿宋_GB2312" w:eastAsia="仿宋_GB2312" w:hAnsi="仿宋_GB2312" w:cs="仿宋_GB2312"/>
          <w:sz w:val="24"/>
          <w:szCs w:val="21"/>
        </w:rPr>
      </w:pPr>
      <w:r>
        <w:rPr>
          <w:rFonts w:ascii="仿宋_GB2312" w:eastAsia="仿宋_GB2312" w:hAnsi="仿宋_GB2312" w:cs="仿宋_GB2312" w:hint="eastAsia"/>
          <w:sz w:val="24"/>
          <w:szCs w:val="21"/>
        </w:rPr>
        <w:t>4.市场拓展及销售提升规划需根据市场定位与用户画像分析，制定市场拓展及销售整体目标、阶段发展规划；</w:t>
      </w:r>
    </w:p>
    <w:p w:rsidR="001703D1" w:rsidRDefault="00FB5C6D">
      <w:pPr>
        <w:spacing w:line="360" w:lineRule="auto"/>
        <w:ind w:firstLineChars="200" w:firstLine="480"/>
        <w:rPr>
          <w:rFonts w:ascii="仿宋_GB2312" w:eastAsia="仿宋_GB2312" w:hAnsi="仿宋_GB2312" w:cs="仿宋_GB2312"/>
          <w:sz w:val="24"/>
          <w:szCs w:val="21"/>
        </w:rPr>
      </w:pPr>
      <w:r>
        <w:rPr>
          <w:rFonts w:ascii="仿宋_GB2312" w:eastAsia="仿宋_GB2312" w:hAnsi="仿宋_GB2312" w:cs="仿宋_GB2312" w:hint="eastAsia"/>
          <w:sz w:val="24"/>
          <w:szCs w:val="21"/>
        </w:rPr>
        <w:t>5.品牌传播发展规划需依据企业目标用户，确定传播发展目标、传播受众、传播手段及组合、阶段性核心传播活动等。</w:t>
      </w:r>
    </w:p>
    <w:p w:rsidR="001703D1" w:rsidRDefault="00FB5C6D">
      <w:pPr>
        <w:spacing w:line="360" w:lineRule="auto"/>
        <w:ind w:firstLine="420"/>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1.根据企业品牌信息，分析企业品牌发展现状；</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2.结合品牌营销环境分析，制定品牌战略规划方案；</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3.完成品牌战略规划方案（Word版）文档撰写。</w:t>
      </w:r>
    </w:p>
    <w:p w:rsidR="001703D1" w:rsidRDefault="00FB5C6D">
      <w:pPr>
        <w:pStyle w:val="3"/>
        <w:spacing w:before="260" w:after="260" w:line="360" w:lineRule="auto"/>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任务2 营销活动策划方案撰写与汇报PPT制作</w:t>
      </w:r>
    </w:p>
    <w:p w:rsidR="001703D1" w:rsidRDefault="00FB5C6D">
      <w:pPr>
        <w:spacing w:line="360" w:lineRule="auto"/>
        <w:ind w:firstLine="420"/>
        <w:rPr>
          <w:rFonts w:ascii="仿宋_GB2312" w:eastAsia="仿宋_GB2312" w:hAnsi="仿宋_GB2312" w:cs="仿宋_GB2312"/>
          <w:sz w:val="24"/>
        </w:rPr>
      </w:pPr>
      <w:r>
        <w:rPr>
          <w:rFonts w:ascii="仿宋_GB2312" w:eastAsia="仿宋_GB2312" w:hAnsi="仿宋_GB2312" w:cs="仿宋_GB2312" w:hint="eastAsia"/>
          <w:sz w:val="24"/>
        </w:rPr>
        <w:t>当前市场上，众多食品品牌竞争激烈，消费者也越来越注重食品的品质。针对这一趋势，上海冠生园食品有限公司推出的产品“大白兔奶糖原味袋装500g”和“冠生园蜂蜜280g”，收获了一批消费者的认可和喜爱，但由于品牌知名度不足且产品推广不充分，产品的销售额还有提升空间。请以品牌推广和产品促销为目的，为上海冠生园食品有限公司产品制定符合企业特点的本年度“吃货节”营销活动策划方案（W</w:t>
      </w:r>
      <w:r>
        <w:rPr>
          <w:rFonts w:ascii="仿宋_GB2312" w:eastAsia="仿宋_GB2312" w:hAnsi="仿宋_GB2312" w:cs="仿宋_GB2312"/>
          <w:sz w:val="24"/>
        </w:rPr>
        <w:t>ord版</w:t>
      </w:r>
      <w:r>
        <w:rPr>
          <w:rFonts w:ascii="仿宋_GB2312" w:eastAsia="仿宋_GB2312" w:hAnsi="仿宋_GB2312" w:cs="仿宋_GB2312" w:hint="eastAsia"/>
          <w:sz w:val="24"/>
        </w:rPr>
        <w:t>）。制作涵盖品牌战略规划和营销活动策划内容的汇报PPT。</w:t>
      </w:r>
    </w:p>
    <w:p w:rsidR="001703D1" w:rsidRDefault="00FB5C6D">
      <w:pPr>
        <w:spacing w:line="360" w:lineRule="auto"/>
        <w:ind w:firstLine="420"/>
        <w:rPr>
          <w:rFonts w:ascii="仿宋_GB2312" w:eastAsia="仿宋_GB2312" w:hAnsi="仿宋_GB2312" w:cs="仿宋_GB2312"/>
          <w:b/>
          <w:sz w:val="24"/>
        </w:rPr>
      </w:pPr>
      <w:r>
        <w:rPr>
          <w:rFonts w:ascii="仿宋_GB2312" w:eastAsia="仿宋_GB2312" w:hAnsi="仿宋_GB2312" w:cs="仿宋_GB2312" w:hint="eastAsia"/>
          <w:b/>
          <w:sz w:val="24"/>
        </w:rPr>
        <w:lastRenderedPageBreak/>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1.营销活动策划方案需包含活动目标、活动受众、活动创意与主题、活动形式、活动时间规划、活动宣传、活动预算、管控要求等。策划方案必须具有原创性，不可过多陈述企业现有的成就和做法；</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2.活动目标制定需明确活动总体目标及阶段目标，确定活动目标的量化指标；</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3.活动受众定向需明确活动受众群体基本属性、行为属性、心理属性等特征；</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4.活动创意与主题设计需依据企业品牌产品信息，结合营销热点，设计符合消费者需求的营销活动内容，使用适当的促销手段，并设计具有吸引力的活动主题；</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5.活动时间规划需明确活动阶段、活动项目、各活动项目开始时间及结束时间等；</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6.活动宣传计划应包含宣传媒体、媒体排期等；</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7.活动预算控制需明确费用项目及各项目预算等；</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8.活动管控要求需明确活动管控人员、管控要点、管控节点，并确定数据跟踪方式方法等。</w:t>
      </w:r>
    </w:p>
    <w:p w:rsidR="001703D1" w:rsidRDefault="00FB5C6D">
      <w:pPr>
        <w:spacing w:line="360" w:lineRule="auto"/>
        <w:ind w:firstLine="420"/>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1.根据企业品牌及产品信息，制定营销活动目标；</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2.精准定位营销活动的受众群体；</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3.结合营销热点，设计符合消费者需求的营销活动内容，并设计具有吸引力的活动主题；</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4.结合营销活动内容，选择活动实现方式与组织形式，并进行时间规划；</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5.结合客群画像，确定合理的宣传媒体排期并指定包含新媒体在内的多种宣传形式；</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6.综合考虑预算因素，最大限度地杠杆化有限的预算；</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7.明确活动管控人员、管控要点、管控节点，并确定数据跟踪方式方法等内容；</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8.完成营销活动策划方案（Word版）撰写；</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9.制作涵盖品牌战略规划和营销活动策划内容的汇报PPT。</w:t>
      </w:r>
    </w:p>
    <w:p w:rsidR="001703D1" w:rsidRDefault="00FB5C6D">
      <w:pPr>
        <w:pStyle w:val="3"/>
        <w:spacing w:before="260" w:after="260" w:line="360" w:lineRule="auto"/>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lastRenderedPageBreak/>
        <w:t>任务3 新媒体营销</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新媒体营销逐渐成为现代营销模式中最重要的部分，基于数字信息技术和网络技术实现信息传播，可以多方位快速传播企业信息，并与消费者建立共鸣，提升品牌的关注度。为了快速、广泛地宣传企业营销活动，上海冠生园食品有限公司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rsidR="001703D1" w:rsidRDefault="00FB5C6D">
      <w:pPr>
        <w:spacing w:line="360" w:lineRule="auto"/>
        <w:ind w:firstLineChars="200" w:firstLine="482"/>
        <w:rPr>
          <w:rFonts w:ascii="仿宋_GB2312" w:eastAsia="仿宋_GB2312" w:hAnsi="仿宋_GB2312" w:cs="仿宋_GB2312"/>
          <w:sz w:val="24"/>
        </w:rPr>
      </w:pPr>
      <w:r>
        <w:rPr>
          <w:rFonts w:ascii="仿宋_GB2312" w:eastAsia="仿宋_GB2312" w:hAnsi="仿宋_GB2312" w:cs="仿宋_GB2312" w:hint="eastAsia"/>
          <w:b/>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1.新媒体宣传文案需包含标题、正文、封面等内容，能够进行品牌推广和产品促销活动宣传；</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2.宣传文案标题撰写符合规范，且能够激发阅读兴趣，吸引用户点击；</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3.图文混排，排版美观大方，整齐有秩序，字体不杂乱，字号、颜色和谐；</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4.文案内容承接标题、开头，呼应活动策划方案，品牌推广目的清晰；</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5.尾文部分内容，能激发阅读者转发分享或点击购买的欲望；</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6.封面图片清晰、尺寸合理、不变形；</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7.在新媒体文案中不得出现学校名称、选手姓名等可能暴露参赛选手身份的相关信息。</w:t>
      </w:r>
    </w:p>
    <w:p w:rsidR="001703D1" w:rsidRDefault="00FB5C6D">
      <w:pPr>
        <w:spacing w:line="360" w:lineRule="auto"/>
        <w:ind w:firstLine="420"/>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1.根据营销活动内容进行新媒体营销策划，选择合适的营销方式并合理规划新媒体宣传文案内容结构；</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2.根据营销目标，撰写一个具有吸引力的新媒体宣传文案标题；</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3.借助新媒体工具进行图文图片素材选择或上传，完成新媒体宣传图文正文的文字及图片内容的排版与编辑；</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4.根据营销活动内容，完成图文封面图片选择或上传、封面裁剪与宣传。</w:t>
      </w:r>
    </w:p>
    <w:p w:rsidR="001703D1" w:rsidRDefault="00FB5C6D">
      <w:pPr>
        <w:pStyle w:val="3"/>
        <w:spacing w:before="260" w:after="260" w:line="360" w:lineRule="auto"/>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任务4 方案汇报与展示</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方案汇报展示的目的是清晰地向公司管理层、执行层传达具体策划内容，以</w:t>
      </w:r>
      <w:r>
        <w:rPr>
          <w:rFonts w:ascii="仿宋_GB2312" w:eastAsia="仿宋_GB2312" w:hAnsi="仿宋_GB2312" w:cs="仿宋_GB2312" w:hint="eastAsia"/>
          <w:sz w:val="24"/>
        </w:rPr>
        <w:lastRenderedPageBreak/>
        <w:t>获得公司领导层认可、提高基层执行人员对策划内容的理解度，提高执行效率与效果。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为获得更好的营销效果，进一步扩大冠生园“大白兔奶糖原味袋装500g”和“冠生园蜂蜜280g”产品的知名度和市场占有率，参赛团队成员需要在竞赛当日按抽签顺序依次进入汇报场地进行公司品牌战略规划和整合营销活动策划方案的展示与汇报。</w:t>
      </w:r>
    </w:p>
    <w:p w:rsidR="001703D1" w:rsidRDefault="00FB5C6D">
      <w:pPr>
        <w:spacing w:line="360" w:lineRule="auto"/>
        <w:ind w:firstLineChars="200" w:firstLine="482"/>
        <w:rPr>
          <w:rFonts w:ascii="仿宋_GB2312" w:eastAsia="仿宋_GB2312" w:hAnsi="仿宋_GB2312" w:cs="仿宋_GB2312"/>
          <w:b/>
          <w:bCs/>
          <w:sz w:val="24"/>
        </w:rPr>
      </w:pPr>
      <w:r>
        <w:rPr>
          <w:rFonts w:ascii="仿宋_GB2312" w:eastAsia="仿宋_GB2312" w:hAnsi="仿宋_GB2312" w:cs="仿宋_GB2312" w:hint="eastAsia"/>
          <w:b/>
          <w:bCs/>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1.以PPT形式汇报，内容应涵盖品牌战略规划和营销活动策划；</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 xml:space="preserve">2.普通话标准，口齿清晰，表达流利，声音洪亮，节奏适中； </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3.在规定时间内团队3-4人共同完成展示陈述任务；</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4.团队成员衣着整洁，表</w:t>
      </w:r>
      <w:r>
        <w:rPr>
          <w:rFonts w:ascii="仿宋_GB2312" w:eastAsia="仿宋_GB2312" w:hAnsi="仿宋_GB2312" w:cs="仿宋_GB2312" w:hint="eastAsia"/>
          <w:color w:val="000000" w:themeColor="text1"/>
          <w:sz w:val="24"/>
        </w:rPr>
        <w:t>情自然，</w:t>
      </w:r>
      <w:r>
        <w:rPr>
          <w:rFonts w:ascii="仿宋_GB2312" w:eastAsia="仿宋_GB2312" w:hAnsi="仿宋_GB2312" w:cs="仿宋_GB2312" w:hint="eastAsia"/>
          <w:sz w:val="24"/>
        </w:rPr>
        <w:t>举止文明，语言规范；</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5.汇报过程中不得出现学校名称、选手姓名等可能暴露参赛选手身份的相关信息。</w:t>
      </w:r>
    </w:p>
    <w:p w:rsidR="001703D1" w:rsidRDefault="00FB5C6D">
      <w:pPr>
        <w:ind w:firstLineChars="200" w:firstLine="482"/>
        <w:rPr>
          <w:rFonts w:ascii="仿宋_GB2312" w:eastAsia="仿宋_GB2312" w:hAnsi="仿宋_GB2312" w:cs="仿宋_GB2312"/>
          <w:b/>
          <w:bCs/>
          <w:sz w:val="24"/>
        </w:rPr>
      </w:pPr>
      <w:r>
        <w:rPr>
          <w:rFonts w:ascii="仿宋_GB2312" w:eastAsia="仿宋_GB2312" w:hAnsi="仿宋_GB2312" w:cs="仿宋_GB2312" w:hint="eastAsia"/>
          <w:b/>
          <w:bCs/>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1.根据团队成员特点，明确方案汇报团队成员分工；</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2.整理着装，规范仪容仪表，有序进出；</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3.在10分钟内完成全部内容的汇报。</w:t>
      </w:r>
    </w:p>
    <w:p w:rsidR="001703D1" w:rsidRDefault="00FB5C6D">
      <w:pPr>
        <w:pStyle w:val="1"/>
        <w:spacing w:before="340" w:after="330" w:line="360" w:lineRule="auto"/>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sz w:val="44"/>
        </w:rPr>
        <w:t>二、数字营销</w:t>
      </w:r>
    </w:p>
    <w:p w:rsidR="001703D1" w:rsidRDefault="00FB5C6D">
      <w:pPr>
        <w:spacing w:line="360" w:lineRule="auto"/>
        <w:ind w:firstLineChars="200"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能力、目标用户分析与定位、竞争策略分析、数字营销策划、数字营销实施、数字化品牌传播、数据分析和团队合作。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rsidR="001703D1" w:rsidRDefault="00FB5C6D">
      <w:pPr>
        <w:pStyle w:val="2"/>
        <w:rPr>
          <w:rFonts w:ascii="仿宋_GB2312" w:eastAsia="仿宋_GB2312" w:hAnsi="仿宋_GB2312" w:cs="仿宋_GB2312"/>
        </w:rPr>
      </w:pPr>
      <w:r>
        <w:rPr>
          <w:rFonts w:ascii="仿宋_GB2312" w:eastAsia="仿宋_GB2312" w:hAnsi="仿宋_GB2312" w:cs="仿宋_GB2312" w:hint="eastAsia"/>
        </w:rPr>
        <w:lastRenderedPageBreak/>
        <w:t>（一）任务目标</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在给定的营销预算范围内，在相同的竞争环境下，围绕当前细分行业下的一家销售型企业，开展3个周期的数字营销活动。主要达成以下几个方面的任务目标：</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1.能根据用户画像维度和市场分析方法，完成用户画像分析和市场定位，制定数字营销策略；</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2.能根据推荐引擎竞价广告排名规则，实施推荐引擎营销策略，获取广告展现量、点击量，提升广告点击率；</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3.能根据搜索引擎竞价广告排名规则，实施搜索竞价营销策略，获取广告展现量、点击量，提升广告点击率；</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4.能根据搜索引擎工作原理和网页排名规则，优化企业网页标题及关键词，提升网页自然搜索排名；</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5.能结合营销效果分析、优化方法与原则，完成搜索竞价排名广告营销、推荐引擎营销的效果分析、评估与推广优化，提升广告整体展现量、点击量和点击率。</w:t>
      </w:r>
    </w:p>
    <w:p w:rsidR="001703D1" w:rsidRDefault="00FB5C6D">
      <w:pPr>
        <w:pStyle w:val="2"/>
        <w:rPr>
          <w:rFonts w:ascii="仿宋_GB2312" w:eastAsia="仿宋_GB2312" w:hAnsi="仿宋_GB2312" w:cs="仿宋_GB2312"/>
        </w:rPr>
      </w:pPr>
      <w:r>
        <w:rPr>
          <w:rFonts w:ascii="仿宋_GB2312" w:eastAsia="仿宋_GB2312" w:hAnsi="仿宋_GB2312" w:cs="仿宋_GB2312" w:hint="eastAsia"/>
        </w:rPr>
        <w:t>（二）任务背景</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香古女装有限公司于2002年创立于中国上海，是一家多品牌运作的时尚集团。自成立以来，公司围绕中高端品牌定位，创立了多个知名女装品牌。</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香古女装专业从事女装及配套服饰的设计、生产及销售，主营产品包括连衣裙、T恤、西装、休闲裤、高跟鞋等，致力于为热爱时尚追求品质的人群提供优质产品，帮助人们提升自我价值感，通过非凡的创意、艺术的格调以及触及心灵的美好生活体验，打造专注时尚领域、具有国际竞争力的产业集团。</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香古女装秉持“爱创造一切”的品牌信念，以缔造女装时尚文化为己任，利用卓越的设计理念，全力打造新时尚女性。</w:t>
      </w:r>
    </w:p>
    <w:p w:rsidR="001703D1" w:rsidRDefault="00FB5C6D">
      <w:pPr>
        <w:pStyle w:val="paragraph"/>
        <w:numPr>
          <w:ilvl w:val="0"/>
          <w:numId w:val="1"/>
        </w:numPr>
        <w:spacing w:before="0" w:beforeAutospacing="0" w:after="0" w:afterAutospacing="0" w:line="360" w:lineRule="auto"/>
        <w:jc w:val="left"/>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连衣裙</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lastRenderedPageBreak/>
        <w:t>连衣裙是指上衣和裙子连成一体式的连裙装。基本参数包括材质、廓形、颜色、码数、腰型、裙长、领型、裙型、流行元素、袖型、袖长、风格、衣门襟、图案等。</w:t>
      </w:r>
    </w:p>
    <w:p w:rsidR="001703D1" w:rsidRDefault="00FB5C6D">
      <w:pPr>
        <w:pStyle w:val="paragraph"/>
        <w:numPr>
          <w:ilvl w:val="0"/>
          <w:numId w:val="1"/>
        </w:numPr>
        <w:adjustRightInd w:val="0"/>
        <w:spacing w:before="0" w:beforeAutospacing="0" w:after="0" w:afterAutospacing="0" w:line="360" w:lineRule="auto"/>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szCs w:val="32"/>
        </w:rPr>
        <w:t>T恤</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T恤衫又称T形衫。起初是内衣，实际上是翻领半开领衫，后来才发展到外衣，包括T恤汗衫和T恤衬衫两个系列。基本参数包括材质、颜色、码数、版型、适用季节、领型、流行元素、厚度、图案、袖长、风格等。</w:t>
      </w:r>
    </w:p>
    <w:p w:rsidR="001703D1" w:rsidRDefault="00FB5C6D">
      <w:pPr>
        <w:pStyle w:val="paragraph"/>
        <w:numPr>
          <w:ilvl w:val="0"/>
          <w:numId w:val="1"/>
        </w:numPr>
        <w:spacing w:before="0" w:beforeAutospacing="0" w:after="0" w:afterAutospacing="0" w:line="360" w:lineRule="auto"/>
        <w:jc w:val="left"/>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西装</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西装广义指西式服装，是相对于“中式服装”而言的欧系服装。狭义指西式上装或西式套装。基本参数包括材质、颜色、码数、版型、领型、流行元素、袖型、袖长、风格、衣门襟、图案等。</w:t>
      </w:r>
    </w:p>
    <w:p w:rsidR="001703D1" w:rsidRDefault="00FB5C6D">
      <w:pPr>
        <w:pStyle w:val="paragraph"/>
        <w:numPr>
          <w:ilvl w:val="0"/>
          <w:numId w:val="1"/>
        </w:numPr>
        <w:spacing w:before="0" w:beforeAutospacing="0" w:after="0" w:afterAutospacing="0" w:line="360" w:lineRule="auto"/>
        <w:jc w:val="left"/>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休闲裤</w:t>
      </w:r>
    </w:p>
    <w:p w:rsidR="001703D1" w:rsidRDefault="00FB5C6D">
      <w:pPr>
        <w:pStyle w:val="paragraph"/>
        <w:spacing w:before="0" w:beforeAutospacing="0" w:after="0" w:afterAutospacing="0" w:line="360" w:lineRule="auto"/>
        <w:ind w:firstLine="480"/>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休闲裤，与正装裤相对而言，就是穿起来显得比较休闲随意的裤子，面料舒适，款式简约百搭。基本参数包括材质、颜色、码数、适用季节、厚度、流行元素、图案、裤型、裤长、弹力、风格等。</w:t>
      </w:r>
    </w:p>
    <w:p w:rsidR="001703D1" w:rsidRDefault="00FB5C6D">
      <w:pPr>
        <w:pStyle w:val="paragraph"/>
        <w:numPr>
          <w:ilvl w:val="0"/>
          <w:numId w:val="1"/>
        </w:numPr>
        <w:spacing w:before="0" w:beforeAutospacing="0" w:after="0" w:afterAutospacing="0" w:line="360" w:lineRule="auto"/>
        <w:jc w:val="left"/>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高跟鞋</w:t>
      </w:r>
    </w:p>
    <w:p w:rsidR="001703D1" w:rsidRDefault="00FB5C6D">
      <w:pPr>
        <w:pStyle w:val="paragraph"/>
        <w:spacing w:before="0" w:beforeAutospacing="0" w:after="0" w:afterAutospacing="0" w:line="360" w:lineRule="auto"/>
        <w:ind w:firstLine="480"/>
        <w:jc w:val="left"/>
        <w:rPr>
          <w:rFonts w:ascii="仿宋_GB2312" w:eastAsia="仿宋_GB2312" w:hAnsi="仿宋_GB2312" w:cs="仿宋_GB2312"/>
          <w:color w:val="000000" w:themeColor="text1"/>
          <w:sz w:val="24"/>
        </w:rPr>
      </w:pPr>
      <w:r>
        <w:rPr>
          <w:rFonts w:ascii="仿宋_GB2312" w:eastAsia="仿宋_GB2312" w:hAnsi="仿宋_GB2312" w:cs="仿宋_GB2312" w:hint="eastAsia"/>
          <w:color w:val="000000" w:themeColor="text1"/>
          <w:sz w:val="24"/>
        </w:rPr>
        <w:t>高跟鞋是一种高跟的鞋。基本参数包括颜色、码数、鞋面材质、鞋跟形状、鞋跟高度、鞋底材质、制鞋工艺、鞋头款式、流行元素、图案、开口深度等。</w:t>
      </w:r>
    </w:p>
    <w:p w:rsidR="001703D1" w:rsidRDefault="00FB5C6D">
      <w:pPr>
        <w:pStyle w:val="2"/>
        <w:rPr>
          <w:rFonts w:ascii="仿宋_GB2312" w:eastAsia="仿宋_GB2312" w:hAnsi="仿宋_GB2312" w:cs="仿宋_GB2312"/>
        </w:rPr>
      </w:pPr>
      <w:r>
        <w:rPr>
          <w:rFonts w:ascii="仿宋_GB2312" w:eastAsia="仿宋_GB2312" w:hAnsi="仿宋_GB2312" w:cs="仿宋_GB2312" w:hint="eastAsia"/>
        </w:rPr>
        <w:t>（三）任务设计</w:t>
      </w:r>
    </w:p>
    <w:p w:rsidR="001703D1" w:rsidRDefault="00FB5C6D">
      <w:pPr>
        <w:pStyle w:val="3"/>
        <w:spacing w:before="260" w:after="260" w:line="360" w:lineRule="auto"/>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任务1 用户画像与市场定位</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随着女装市场的竞争越来越激烈，香古女装有限公司需要更加精准地了解目标用户和市场需求，以制定更为优秀的女装产品和服务策略，以提高公司的市场竞争力。</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为了实现这一目标，公司计划开展用户画像分析与市场定位的工作。这将有助于公司了解目标用户的兴趣、需求和消费习惯，并确定公司在女装市场中的市场定位。同时，通过分析市场趋势和竞争对手，公司可以发现自身的优势和不足之处，辅助制定更为优秀的女装产品和服务策略，以吸引更多的目标用户并提高</w:t>
      </w:r>
      <w:r>
        <w:rPr>
          <w:rFonts w:ascii="仿宋_GB2312" w:eastAsia="仿宋_GB2312" w:hAnsi="仿宋_GB2312" w:cs="仿宋_GB2312" w:hint="eastAsia"/>
          <w:sz w:val="24"/>
        </w:rPr>
        <w:lastRenderedPageBreak/>
        <w:t>市场占有率。请根据企业背景描述进行目标用户画像分析与市场定位。</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1.结合用户特征数据和市场数据，完成用户画像分析与市场定位，以圈定更加精准的目标用户；</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2.通过用户画像分析与市场定位，为后续具体数字营销实施工作提供参考方向。</w:t>
      </w:r>
    </w:p>
    <w:p w:rsidR="001703D1" w:rsidRDefault="00FB5C6D">
      <w:pPr>
        <w:spacing w:line="360" w:lineRule="auto"/>
        <w:ind w:firstLineChars="200" w:firstLine="482"/>
        <w:rPr>
          <w:rFonts w:ascii="仿宋_GB2312" w:eastAsia="仿宋_GB2312" w:hAnsi="仿宋_GB2312" w:cs="仿宋_GB2312"/>
          <w:b/>
          <w:bCs/>
          <w:sz w:val="24"/>
        </w:rPr>
      </w:pPr>
      <w:r>
        <w:rPr>
          <w:rFonts w:ascii="仿宋_GB2312" w:eastAsia="仿宋_GB2312" w:hAnsi="仿宋_GB2312" w:cs="仿宋_GB2312" w:hint="eastAsia"/>
          <w:b/>
          <w:bCs/>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1.根据任务目标要求，完成用户特征数据分析；</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2.根据用户特征数据，完成用户特征标签的定位，绘制企业用户标签化模型；</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3.结合用户画像和企业品牌及产品信息，全面了解自身品牌及行业营销推广现状，进行市场定位，明确广告投放目标。</w:t>
      </w:r>
    </w:p>
    <w:p w:rsidR="001703D1" w:rsidRDefault="00FB5C6D">
      <w:pPr>
        <w:pStyle w:val="3"/>
        <w:spacing w:before="260" w:after="260" w:line="360" w:lineRule="auto"/>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任务2数字营销策略制定</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近年，随着全球数字化趋势的不断发展和互联网的普及，数字营销逐渐成为各个行业企业竞争的关键。为了更好地满足市场需求，香古女装有限公司不断优化和创新数字营销解决方案，力求提供高质量的服务和产品，为客户创造更多的价值。</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1.确定营销渠道、分配营销预算、明确营销广告投放时间与投放地域，力求以最低的营销成本获取最优推广效果；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2.通过数字营销策略的制定，为后续具体数字营销实施工作提供参考方向。</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1.根据数字营销渠道选择方法，结合搜索及推荐渠道特征分析，制定数字营</w:t>
      </w:r>
      <w:r>
        <w:rPr>
          <w:rFonts w:ascii="仿宋_GB2312" w:eastAsia="仿宋_GB2312" w:hAnsi="仿宋_GB2312" w:cs="仿宋_GB2312" w:hint="eastAsia"/>
          <w:sz w:val="24"/>
        </w:rPr>
        <w:lastRenderedPageBreak/>
        <w:t>销渠道策略；</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2.根据预算分配原则与技巧，合理分配数字营销预算；</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3.根据市场定位原则，制定数字营销广告投放地域、时间策略。</w:t>
      </w:r>
    </w:p>
    <w:p w:rsidR="001703D1" w:rsidRDefault="00FB5C6D">
      <w:pPr>
        <w:pStyle w:val="3"/>
        <w:spacing w:before="260" w:after="260" w:line="360" w:lineRule="auto"/>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任务3 数字营销实施</w:t>
      </w:r>
    </w:p>
    <w:p w:rsidR="001703D1" w:rsidRDefault="00FB5C6D">
      <w:pPr>
        <w:spacing w:line="360" w:lineRule="auto"/>
        <w:ind w:firstLineChars="200" w:firstLine="480"/>
        <w:rPr>
          <w:rFonts w:ascii="仿宋_GB2312" w:eastAsia="仿宋_GB2312" w:hAnsi="仿宋_GB2312" w:cs="仿宋_GB2312"/>
          <w:color w:val="000000" w:themeColor="text1"/>
          <w:sz w:val="24"/>
          <w:szCs w:val="32"/>
        </w:rPr>
      </w:pPr>
      <w:r>
        <w:rPr>
          <w:rFonts w:ascii="仿宋_GB2312" w:eastAsia="仿宋_GB2312" w:hAnsi="仿宋_GB2312" w:cs="仿宋_GB2312" w:hint="eastAsia"/>
          <w:color w:val="000000" w:themeColor="text1"/>
          <w:sz w:val="24"/>
          <w:szCs w:val="32"/>
        </w:rPr>
        <w:t>数字营销实施需要根据具体需求和目标进行系统规划和细致操作，不断优化和调整实施策略。为获得更好的营销效果，香古女装有限公司需要在给定的营销预算范围内，在相同的竞争环境下，为同一家企业开展3个周期的数字营销活动。香古女装有限公司需借助推荐引擎进行推荐引擎营销；结合目标用户的搜索行为，借助搜索引擎进行搜索竞价营销与搜索排名优化，完成数字营销策略的实施。</w:t>
      </w:r>
    </w:p>
    <w:p w:rsidR="001703D1" w:rsidRDefault="00FB5C6D">
      <w:pPr>
        <w:pStyle w:val="4"/>
        <w:spacing w:before="280" w:after="290" w:line="360" w:lineRule="auto"/>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任务3-1 推荐引擎营销</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推荐引擎营销是一种有效的数字营销手段，通过使用推荐算法和机器学习技术，可以在产品或服务页面中自动推荐用户感兴趣的内容或产品，提高用户的满意度和忠诚度，增加产品或服务的销售量。</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因此，香古女装有限公司计划在推荐引擎上开展营销活动，通过在投放后台设置投放地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rsidR="001703D1" w:rsidRDefault="00FB5C6D">
      <w:pPr>
        <w:spacing w:line="360" w:lineRule="auto"/>
        <w:ind w:firstLineChars="200" w:firstLine="482"/>
        <w:rPr>
          <w:rFonts w:ascii="仿宋_GB2312" w:eastAsia="仿宋_GB2312" w:hAnsi="仿宋_GB2312" w:cs="仿宋_GB2312"/>
          <w:sz w:val="24"/>
        </w:rPr>
      </w:pPr>
      <w:r>
        <w:rPr>
          <w:rFonts w:ascii="仿宋_GB2312" w:eastAsia="仿宋_GB2312" w:hAnsi="仿宋_GB2312" w:cs="仿宋_GB2312" w:hint="eastAsia"/>
          <w:b/>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1.通过人群标签定向，圈定目标受众，提高目标受众定向的精准度与范围，降低无效展现与无效点击；</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2.根据推荐引擎竞价广告排名规则，实施推荐引擎营销策略，在有限的营销预算范围内容，尽可能多地获取广告展现量、点击量，提升广告点击率。</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1.依据推荐引擎账户搭建规则与技巧，搭建推广计划、推广单元；</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lastRenderedPageBreak/>
        <w:t>2.结合推荐引擎广告营销目标受众定向维度，完成推荐引擎目标受众定向设置；</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3.结合推荐引擎广告排名与扣费规则，进行目标受众出价；</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4.根据创意设置的原则，进行创意设置。</w:t>
      </w:r>
    </w:p>
    <w:p w:rsidR="001703D1" w:rsidRDefault="00FB5C6D">
      <w:pPr>
        <w:pStyle w:val="4"/>
        <w:spacing w:before="280" w:after="290" w:line="360" w:lineRule="auto"/>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任务3-2 搜索竞价营销</w:t>
      </w:r>
    </w:p>
    <w:p w:rsidR="001703D1" w:rsidRDefault="00FB5C6D">
      <w:pPr>
        <w:snapToGrid w:val="0"/>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香古女装有限公司计划开展搜索引擎竞价营销实践，将企业信息传递给目标受众，促进品牌认知度与商业价值变现。请根据营销预算、企业信息及企业商品，在竞赛当日进行搜索引擎竞价营销。</w:t>
      </w:r>
    </w:p>
    <w:p w:rsidR="001703D1" w:rsidRDefault="00FB5C6D">
      <w:pPr>
        <w:snapToGrid w:val="0"/>
        <w:spacing w:line="360" w:lineRule="auto"/>
        <w:ind w:firstLineChars="200" w:firstLine="482"/>
        <w:rPr>
          <w:rFonts w:ascii="仿宋_GB2312" w:eastAsia="仿宋_GB2312" w:hAnsi="仿宋_GB2312" w:cs="仿宋_GB2312"/>
          <w:sz w:val="24"/>
        </w:rPr>
      </w:pPr>
      <w:r>
        <w:rPr>
          <w:rFonts w:ascii="仿宋_GB2312" w:eastAsia="仿宋_GB2312" w:hAnsi="仿宋_GB2312" w:cs="仿宋_GB2312" w:hint="eastAsia"/>
          <w:b/>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1.通过关键词定位主动搜索的目标受众，以付费方式获得目标用户检索关键词时网页的展现机会；</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2.根据搜索引擎竞价广告排名规则，进行搜索竞价营销策略实施，在有限的营销预算范围内容，尽可能多地获取广告展现量、点击量，提升广告点击率。</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1.依据搜索引擎竞价账户搭建规则与技巧，搭建推广计划、推广单元；</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2.根据搜索竞价广告排名与扣费规则，结合关键词出价方法，完成关键词添加、出价和匹配方式设置；</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3.根据创意设置的关键点，明确创意与关键词的相关关系，进行创意设置。</w:t>
      </w:r>
    </w:p>
    <w:p w:rsidR="001703D1" w:rsidRDefault="00FB5C6D">
      <w:pPr>
        <w:pStyle w:val="4"/>
        <w:spacing w:before="280" w:after="290" w:line="360" w:lineRule="auto"/>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任务3-3 搜索排名优化</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索引擎自然流量，香古女装有限公司将对公司网页进行搜索排</w:t>
      </w:r>
      <w:r>
        <w:rPr>
          <w:rFonts w:ascii="仿宋_GB2312" w:eastAsia="仿宋_GB2312" w:hAnsi="仿宋_GB2312" w:cs="仿宋_GB2312" w:hint="eastAsia"/>
          <w:sz w:val="24"/>
        </w:rPr>
        <w:lastRenderedPageBreak/>
        <w:t>名优化。请据企业网站介绍与产品或服务介绍，在竞赛当日，进行网站主页标题、关键词的优化与产品或服务页的标题、关键词优化。</w:t>
      </w:r>
    </w:p>
    <w:p w:rsidR="001703D1" w:rsidRDefault="00FB5C6D">
      <w:pPr>
        <w:spacing w:line="360" w:lineRule="auto"/>
        <w:ind w:firstLineChars="200" w:firstLine="482"/>
        <w:rPr>
          <w:rFonts w:ascii="仿宋_GB2312" w:eastAsia="仿宋_GB2312" w:hAnsi="仿宋_GB2312" w:cs="仿宋_GB2312"/>
          <w:sz w:val="24"/>
        </w:rPr>
      </w:pPr>
      <w:r>
        <w:rPr>
          <w:rFonts w:ascii="仿宋_GB2312" w:eastAsia="仿宋_GB2312" w:hAnsi="仿宋_GB2312" w:cs="仿宋_GB2312" w:hint="eastAsia"/>
          <w:b/>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1.通过搜索中心对每个关键词进行检索，查看网页的实时排名，以免费的方式获得目标受众检索关键词时尽可能多的展现机会，将信息传递给目标受众；</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2.可根据排名反馈继续优化，继续提高搜索排名优化效果，尽可能增加网站首页和产品或服务介绍页的展现机会。</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1.根据搜索引擎排名规则，借助搜索工具搜索关键词，分析网站主页与产品页排名，完成网页搜索排名分析；</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2.根据关键词优化方法，结合企业背景信息，完成网站主页标题、关键词的优化；</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3.根据关键词优化方法，结合企业背景信息，完成产品或服务页的标题、关键词优化。</w:t>
      </w:r>
    </w:p>
    <w:p w:rsidR="001703D1" w:rsidRDefault="00FB5C6D">
      <w:pPr>
        <w:pStyle w:val="3"/>
        <w:spacing w:before="260" w:after="260" w:line="360" w:lineRule="auto"/>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任务4 市场推广与控制</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经过一段时间的应用推广，为了降低广告成本，最大限度提升广告效果，香古女装有限公司的营销人员需要根据推广结果及营销报表，统计展现量、点击量等主要的营销数据，分析推广账户各指标维度，从消耗数据、效果数据等角度对推广效果进行整体评估，并优化营销策略。</w:t>
      </w:r>
    </w:p>
    <w:p w:rsidR="001703D1" w:rsidRDefault="00FB5C6D">
      <w:pPr>
        <w:spacing w:line="360" w:lineRule="auto"/>
        <w:ind w:firstLineChars="200" w:firstLine="482"/>
        <w:rPr>
          <w:rFonts w:ascii="仿宋_GB2312" w:eastAsia="仿宋_GB2312" w:hAnsi="仿宋_GB2312" w:cs="仿宋_GB2312"/>
          <w:sz w:val="24"/>
        </w:rPr>
      </w:pPr>
      <w:r>
        <w:rPr>
          <w:rFonts w:ascii="仿宋_GB2312" w:eastAsia="仿宋_GB2312" w:hAnsi="仿宋_GB2312" w:cs="仿宋_GB2312" w:hint="eastAsia"/>
          <w:b/>
          <w:sz w:val="24"/>
        </w:rPr>
        <w:t>任务要求：</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1.分别在前2个周期结束后，分析营销报表，评估营销效果，辅助下一周期的数字营销策略的优化与实施；</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2.在竞赛当日，完成企业3个周期的数字化市场推广与控制工作，增加网站展现量、点击量、点击率和搜索排名优化效果，提升品牌认知度，达到品牌传播的目的。</w:t>
      </w:r>
    </w:p>
    <w:p w:rsidR="001703D1" w:rsidRDefault="00FB5C6D">
      <w:pPr>
        <w:spacing w:line="360" w:lineRule="auto"/>
        <w:ind w:firstLineChars="200" w:firstLine="482"/>
        <w:rPr>
          <w:rFonts w:ascii="仿宋_GB2312" w:eastAsia="仿宋_GB2312" w:hAnsi="仿宋_GB2312" w:cs="仿宋_GB2312"/>
          <w:b/>
          <w:sz w:val="24"/>
        </w:rPr>
      </w:pPr>
      <w:r>
        <w:rPr>
          <w:rFonts w:ascii="仿宋_GB2312" w:eastAsia="仿宋_GB2312" w:hAnsi="仿宋_GB2312" w:cs="仿宋_GB2312" w:hint="eastAsia"/>
          <w:b/>
          <w:sz w:val="24"/>
        </w:rPr>
        <w:t>任务操作：</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1.结合营销效果分析方法，完成搜索竞价营销、推荐引擎营销、搜索排名优化的效果分析；</w:t>
      </w:r>
    </w:p>
    <w:p w:rsidR="001703D1" w:rsidRDefault="00FB5C6D">
      <w:pPr>
        <w:spacing w:line="360" w:lineRule="auto"/>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lastRenderedPageBreak/>
        <w:t>2.明确营销效果评估指标，完成数字营销渠道、数字营销推广计划、推广单元等评估；</w:t>
      </w:r>
    </w:p>
    <w:p w:rsidR="001703D1" w:rsidRDefault="00FB5C6D">
      <w:pPr>
        <w:spacing w:line="360" w:lineRule="auto"/>
        <w:ind w:firstLineChars="200" w:firstLine="480"/>
        <w:rPr>
          <w:rFonts w:ascii="仿宋_GB2312" w:eastAsia="仿宋_GB2312" w:hAnsi="仿宋_GB2312" w:cs="仿宋_GB2312"/>
          <w:color w:val="000000" w:themeColor="text1"/>
          <w:szCs w:val="21"/>
        </w:rPr>
      </w:pPr>
      <w:r>
        <w:rPr>
          <w:rFonts w:ascii="仿宋_GB2312" w:eastAsia="仿宋_GB2312" w:hAnsi="仿宋_GB2312" w:cs="仿宋_GB2312" w:hint="eastAsia"/>
          <w:sz w:val="24"/>
        </w:rPr>
        <w:t>3.结合营销推广优化策略，完成广告营销推广优化。</w:t>
      </w:r>
    </w:p>
    <w:sectPr w:rsidR="001703D1" w:rsidSect="00C6670C">
      <w:footerReference w:type="default" r:id="rId1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78B1" w:rsidRDefault="008D78B1">
      <w:r>
        <w:separator/>
      </w:r>
    </w:p>
  </w:endnote>
  <w:endnote w:type="continuationSeparator" w:id="0">
    <w:p w:rsidR="008D78B1" w:rsidRDefault="008D78B1">
      <w:r>
        <w:continuationSeparator/>
      </w:r>
    </w:p>
  </w:endnote>
</w:endnotes>
</file>

<file path=word/fontTable.xml><?xml version="1.0" encoding="utf-8"?>
<w:fonts xmlns:r="http://schemas.openxmlformats.org/officeDocument/2006/relationships" xmlns:w="http://schemas.openxmlformats.org/wordprocessingml/2006/main">
  <w:font w:name="仿宋_GB2312">
    <w:panose1 w:val="02010609030101010101"/>
    <w:charset w:val="86"/>
    <w:family w:val="modern"/>
    <w:pitch w:val="fixed"/>
    <w:sig w:usb0="00000001"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等线">
    <w:altName w:val="微软雅黑"/>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5873233"/>
    </w:sdtPr>
    <w:sdtContent>
      <w:p w:rsidR="001703D1" w:rsidRDefault="00D81384">
        <w:pPr>
          <w:pStyle w:val="a3"/>
          <w:jc w:val="center"/>
        </w:pPr>
        <w:r>
          <w:fldChar w:fldCharType="begin"/>
        </w:r>
        <w:r w:rsidR="00FB5C6D">
          <w:instrText>PAGE   \* MERGEFORMAT</w:instrText>
        </w:r>
        <w:r>
          <w:fldChar w:fldCharType="separate"/>
        </w:r>
        <w:r w:rsidR="00797D1E" w:rsidRPr="00797D1E">
          <w:rPr>
            <w:noProof/>
            <w:lang w:val="zh-CN"/>
          </w:rPr>
          <w:t>2</w:t>
        </w:r>
        <w:r>
          <w:fldChar w:fldCharType="end"/>
        </w:r>
      </w:p>
    </w:sdtContent>
  </w:sdt>
  <w:p w:rsidR="001703D1" w:rsidRDefault="001703D1">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78B1" w:rsidRDefault="008D78B1">
      <w:r>
        <w:separator/>
      </w:r>
    </w:p>
  </w:footnote>
  <w:footnote w:type="continuationSeparator" w:id="0">
    <w:p w:rsidR="008D78B1" w:rsidRDefault="008D78B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99DC346"/>
    <w:multiLevelType w:val="multilevel"/>
    <w:tmpl w:val="899DC346"/>
    <w:lvl w:ilvl="0">
      <w:start w:val="1"/>
      <w:numFmt w:val="decimalEnclosedCircle"/>
      <w:lvlText w:val="%1"/>
      <w:lvlJc w:val="left"/>
      <w:pPr>
        <w:ind w:left="840" w:hanging="360"/>
      </w:pPr>
      <w:rPr>
        <w:rFonts w:ascii="仿宋_GB2312" w:eastAsia="仿宋_GB2312" w:hint="eastAsia"/>
        <w:color w:val="000000"/>
        <w:sz w:val="24"/>
        <w:szCs w:val="24"/>
      </w:rPr>
    </w:lvl>
    <w:lvl w:ilvl="1">
      <w:start w:val="1"/>
      <w:numFmt w:val="lowerLetter"/>
      <w:lvlText w:val="%2)"/>
      <w:lvlJc w:val="left"/>
      <w:pPr>
        <w:ind w:left="1360" w:hanging="440"/>
      </w:pPr>
      <w:rPr>
        <w:rFonts w:hint="eastAsia"/>
      </w:rPr>
    </w:lvl>
    <w:lvl w:ilvl="2">
      <w:start w:val="1"/>
      <w:numFmt w:val="lowerRoman"/>
      <w:lvlText w:val="%3."/>
      <w:lvlJc w:val="right"/>
      <w:pPr>
        <w:ind w:left="1800" w:hanging="440"/>
      </w:pPr>
      <w:rPr>
        <w:rFonts w:hint="eastAsia"/>
      </w:rPr>
    </w:lvl>
    <w:lvl w:ilvl="3">
      <w:start w:val="1"/>
      <w:numFmt w:val="decimal"/>
      <w:lvlText w:val="%4."/>
      <w:lvlJc w:val="left"/>
      <w:pPr>
        <w:ind w:left="2240" w:hanging="440"/>
      </w:pPr>
      <w:rPr>
        <w:rFonts w:hint="eastAsia"/>
      </w:rPr>
    </w:lvl>
    <w:lvl w:ilvl="4">
      <w:start w:val="1"/>
      <w:numFmt w:val="lowerLetter"/>
      <w:lvlText w:val="%5)"/>
      <w:lvlJc w:val="left"/>
      <w:pPr>
        <w:ind w:left="2680" w:hanging="440"/>
      </w:pPr>
      <w:rPr>
        <w:rFonts w:hint="eastAsia"/>
      </w:rPr>
    </w:lvl>
    <w:lvl w:ilvl="5">
      <w:start w:val="1"/>
      <w:numFmt w:val="lowerRoman"/>
      <w:lvlText w:val="%6."/>
      <w:lvlJc w:val="right"/>
      <w:pPr>
        <w:ind w:left="3120" w:hanging="440"/>
      </w:pPr>
      <w:rPr>
        <w:rFonts w:hint="eastAsia"/>
      </w:rPr>
    </w:lvl>
    <w:lvl w:ilvl="6">
      <w:start w:val="1"/>
      <w:numFmt w:val="decimal"/>
      <w:lvlText w:val="%7."/>
      <w:lvlJc w:val="left"/>
      <w:pPr>
        <w:ind w:left="3560" w:hanging="440"/>
      </w:pPr>
      <w:rPr>
        <w:rFonts w:hint="eastAsia"/>
      </w:rPr>
    </w:lvl>
    <w:lvl w:ilvl="7">
      <w:start w:val="1"/>
      <w:numFmt w:val="lowerLetter"/>
      <w:lvlText w:val="%8)"/>
      <w:lvlJc w:val="left"/>
      <w:pPr>
        <w:ind w:left="4000" w:hanging="440"/>
      </w:pPr>
      <w:rPr>
        <w:rFonts w:hint="eastAsia"/>
      </w:rPr>
    </w:lvl>
    <w:lvl w:ilvl="8">
      <w:start w:val="1"/>
      <w:numFmt w:val="lowerRoman"/>
      <w:lvlText w:val="%9."/>
      <w:lvlJc w:val="right"/>
      <w:pPr>
        <w:ind w:left="4440" w:hanging="44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VerticalSpacing w:val="156"/>
  <w:noPunctuationKerning/>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2E3YTYyOWJiZTU1ZGNjMjAyZDUwYzQzZGJhYTU5MzcifQ=="/>
  </w:docVars>
  <w:rsids>
    <w:rsidRoot w:val="727A1109"/>
    <w:rsid w:val="00036260"/>
    <w:rsid w:val="000667D3"/>
    <w:rsid w:val="00135B53"/>
    <w:rsid w:val="001703D1"/>
    <w:rsid w:val="003643A1"/>
    <w:rsid w:val="004550AF"/>
    <w:rsid w:val="005836BE"/>
    <w:rsid w:val="006010F5"/>
    <w:rsid w:val="006E598A"/>
    <w:rsid w:val="00771502"/>
    <w:rsid w:val="00775ACE"/>
    <w:rsid w:val="00797D1E"/>
    <w:rsid w:val="007D3C43"/>
    <w:rsid w:val="008434BB"/>
    <w:rsid w:val="0086245A"/>
    <w:rsid w:val="008D78B1"/>
    <w:rsid w:val="008E43EC"/>
    <w:rsid w:val="00960689"/>
    <w:rsid w:val="00962252"/>
    <w:rsid w:val="00AC5574"/>
    <w:rsid w:val="00C6670C"/>
    <w:rsid w:val="00C7505D"/>
    <w:rsid w:val="00D81384"/>
    <w:rsid w:val="00DB1AC1"/>
    <w:rsid w:val="00EC1691"/>
    <w:rsid w:val="00F00450"/>
    <w:rsid w:val="00F16036"/>
    <w:rsid w:val="00F626B9"/>
    <w:rsid w:val="00FB5C6D"/>
    <w:rsid w:val="011941B1"/>
    <w:rsid w:val="01D83FAA"/>
    <w:rsid w:val="022278B2"/>
    <w:rsid w:val="02B40E52"/>
    <w:rsid w:val="030671D3"/>
    <w:rsid w:val="0337738D"/>
    <w:rsid w:val="03391357"/>
    <w:rsid w:val="03EB3362"/>
    <w:rsid w:val="06572A1A"/>
    <w:rsid w:val="070E4902"/>
    <w:rsid w:val="092C1016"/>
    <w:rsid w:val="098D72CE"/>
    <w:rsid w:val="0AFC0B06"/>
    <w:rsid w:val="0BD93EE2"/>
    <w:rsid w:val="0D892EDB"/>
    <w:rsid w:val="0E5E7EC3"/>
    <w:rsid w:val="11F72971"/>
    <w:rsid w:val="13D64626"/>
    <w:rsid w:val="157E7B4D"/>
    <w:rsid w:val="159B252F"/>
    <w:rsid w:val="16006DA0"/>
    <w:rsid w:val="16A75D23"/>
    <w:rsid w:val="199E3EB0"/>
    <w:rsid w:val="1CC61A56"/>
    <w:rsid w:val="1F010B23"/>
    <w:rsid w:val="20085AD5"/>
    <w:rsid w:val="229924EA"/>
    <w:rsid w:val="23D34A58"/>
    <w:rsid w:val="24CE59EF"/>
    <w:rsid w:val="255B7DBA"/>
    <w:rsid w:val="27AB3D22"/>
    <w:rsid w:val="28613D22"/>
    <w:rsid w:val="2A56797D"/>
    <w:rsid w:val="2B513243"/>
    <w:rsid w:val="2BB00935"/>
    <w:rsid w:val="2EAC037F"/>
    <w:rsid w:val="311178E3"/>
    <w:rsid w:val="31796C3F"/>
    <w:rsid w:val="32940B22"/>
    <w:rsid w:val="32CD3DF1"/>
    <w:rsid w:val="33DB598F"/>
    <w:rsid w:val="34001A20"/>
    <w:rsid w:val="352A483B"/>
    <w:rsid w:val="35DA54E6"/>
    <w:rsid w:val="36A24542"/>
    <w:rsid w:val="39A97FFC"/>
    <w:rsid w:val="3CA338F5"/>
    <w:rsid w:val="3CBC20D5"/>
    <w:rsid w:val="3D6407A3"/>
    <w:rsid w:val="3D644D0C"/>
    <w:rsid w:val="3D815BB8"/>
    <w:rsid w:val="409A44DC"/>
    <w:rsid w:val="41597EF3"/>
    <w:rsid w:val="438945E6"/>
    <w:rsid w:val="464D6613"/>
    <w:rsid w:val="49237DCA"/>
    <w:rsid w:val="4CE87660"/>
    <w:rsid w:val="4CE97133"/>
    <w:rsid w:val="4DB841F3"/>
    <w:rsid w:val="50507EE0"/>
    <w:rsid w:val="520B7987"/>
    <w:rsid w:val="520E0886"/>
    <w:rsid w:val="52716224"/>
    <w:rsid w:val="53F63FB0"/>
    <w:rsid w:val="55053C1C"/>
    <w:rsid w:val="554A42CB"/>
    <w:rsid w:val="55CE3C8F"/>
    <w:rsid w:val="57D8729C"/>
    <w:rsid w:val="597050F9"/>
    <w:rsid w:val="5A736072"/>
    <w:rsid w:val="5B8B0EAD"/>
    <w:rsid w:val="5C6B7CDD"/>
    <w:rsid w:val="5C981A2F"/>
    <w:rsid w:val="5DA45C25"/>
    <w:rsid w:val="5DBD5DD0"/>
    <w:rsid w:val="5E621F61"/>
    <w:rsid w:val="5FAB005C"/>
    <w:rsid w:val="601908CA"/>
    <w:rsid w:val="62D732D3"/>
    <w:rsid w:val="62F85366"/>
    <w:rsid w:val="641C69B8"/>
    <w:rsid w:val="64A821EA"/>
    <w:rsid w:val="652B1C84"/>
    <w:rsid w:val="66725E7C"/>
    <w:rsid w:val="67177D85"/>
    <w:rsid w:val="681E586F"/>
    <w:rsid w:val="6A565D61"/>
    <w:rsid w:val="6A6B0B13"/>
    <w:rsid w:val="6B0C5E52"/>
    <w:rsid w:val="6B4A74E9"/>
    <w:rsid w:val="6E77471E"/>
    <w:rsid w:val="6E9817AB"/>
    <w:rsid w:val="6FA42BFB"/>
    <w:rsid w:val="723B22BF"/>
    <w:rsid w:val="727A1109"/>
    <w:rsid w:val="731004AA"/>
    <w:rsid w:val="73676D32"/>
    <w:rsid w:val="7398083F"/>
    <w:rsid w:val="73A006B8"/>
    <w:rsid w:val="75A62ABF"/>
    <w:rsid w:val="761E1B45"/>
    <w:rsid w:val="766A6123"/>
    <w:rsid w:val="7807303C"/>
    <w:rsid w:val="79E22D73"/>
    <w:rsid w:val="7A541F25"/>
    <w:rsid w:val="7B2014A6"/>
    <w:rsid w:val="7E953898"/>
    <w:rsid w:val="7E9A0CB9"/>
    <w:rsid w:val="7EBA204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iPriority="39"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6670C"/>
    <w:pPr>
      <w:widowControl w:val="0"/>
      <w:jc w:val="both"/>
    </w:pPr>
    <w:rPr>
      <w:kern w:val="2"/>
      <w:sz w:val="21"/>
      <w:szCs w:val="24"/>
    </w:rPr>
  </w:style>
  <w:style w:type="paragraph" w:styleId="1">
    <w:name w:val="heading 1"/>
    <w:basedOn w:val="a"/>
    <w:next w:val="a"/>
    <w:uiPriority w:val="9"/>
    <w:qFormat/>
    <w:rsid w:val="00C6670C"/>
    <w:pPr>
      <w:keepNext/>
      <w:keepLines/>
      <w:spacing w:line="408" w:lineRule="auto"/>
      <w:outlineLvl w:val="0"/>
    </w:pPr>
    <w:rPr>
      <w:b/>
      <w:bCs/>
      <w:color w:val="1A1A1A"/>
      <w:sz w:val="36"/>
      <w:szCs w:val="36"/>
    </w:rPr>
  </w:style>
  <w:style w:type="paragraph" w:styleId="2">
    <w:name w:val="heading 2"/>
    <w:basedOn w:val="a"/>
    <w:next w:val="a"/>
    <w:uiPriority w:val="9"/>
    <w:qFormat/>
    <w:rsid w:val="00C6670C"/>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qFormat/>
    <w:rsid w:val="00C6670C"/>
    <w:pPr>
      <w:keepNext/>
      <w:keepLines/>
      <w:spacing w:line="408" w:lineRule="auto"/>
      <w:outlineLvl w:val="2"/>
    </w:pPr>
    <w:rPr>
      <w:b/>
      <w:bCs/>
      <w:color w:val="1A1A1A"/>
      <w:sz w:val="28"/>
      <w:szCs w:val="28"/>
    </w:rPr>
  </w:style>
  <w:style w:type="paragraph" w:styleId="4">
    <w:name w:val="heading 4"/>
    <w:basedOn w:val="a"/>
    <w:next w:val="a"/>
    <w:uiPriority w:val="9"/>
    <w:qFormat/>
    <w:rsid w:val="00C6670C"/>
    <w:pPr>
      <w:keepNext/>
      <w:keepLines/>
      <w:spacing w:line="408" w:lineRule="auto"/>
      <w:outlineLvl w:val="3"/>
    </w:pPr>
    <w:rPr>
      <w:b/>
      <w:bCs/>
      <w:color w:val="1A1A1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rsid w:val="00C6670C"/>
    <w:pPr>
      <w:tabs>
        <w:tab w:val="center" w:pos="4153"/>
        <w:tab w:val="right" w:pos="8306"/>
      </w:tabs>
    </w:pPr>
    <w:rPr>
      <w:sz w:val="18"/>
      <w:szCs w:val="18"/>
    </w:rPr>
  </w:style>
  <w:style w:type="paragraph" w:styleId="a4">
    <w:name w:val="header"/>
    <w:basedOn w:val="a"/>
    <w:link w:val="Char0"/>
    <w:qFormat/>
    <w:rsid w:val="00C6670C"/>
    <w:pPr>
      <w:pBdr>
        <w:bottom w:val="single" w:sz="6" w:space="1" w:color="auto"/>
      </w:pBdr>
      <w:tabs>
        <w:tab w:val="center" w:pos="4153"/>
        <w:tab w:val="right" w:pos="8306"/>
      </w:tabs>
      <w:snapToGrid w:val="0"/>
      <w:jc w:val="center"/>
    </w:pPr>
    <w:rPr>
      <w:sz w:val="18"/>
      <w:szCs w:val="18"/>
    </w:rPr>
  </w:style>
  <w:style w:type="table" w:styleId="a5">
    <w:name w:val="Table Grid"/>
    <w:basedOn w:val="a1"/>
    <w:uiPriority w:val="39"/>
    <w:qFormat/>
    <w:rsid w:val="00C6670C"/>
    <w:tblPr>
      <w:tblInd w:w="0" w:type="dxa"/>
      <w:tblBorders>
        <w:top w:val="single" w:sz="6" w:space="0" w:color="CBCDD1"/>
        <w:left w:val="single" w:sz="6" w:space="0" w:color="CBCDD1"/>
        <w:bottom w:val="single" w:sz="6" w:space="0" w:color="CBCDD1"/>
        <w:right w:val="single" w:sz="6" w:space="0" w:color="CBCDD1"/>
        <w:insideH w:val="single" w:sz="6" w:space="0" w:color="CBCDD1"/>
        <w:insideV w:val="single" w:sz="6" w:space="0" w:color="CBCDD1"/>
      </w:tblBorders>
      <w:tblCellMar>
        <w:top w:w="0" w:type="dxa"/>
        <w:left w:w="108" w:type="dxa"/>
        <w:bottom w:w="0" w:type="dxa"/>
        <w:right w:w="108" w:type="dxa"/>
      </w:tblCellMar>
    </w:tblPr>
    <w:tcPr>
      <w:vAlign w:val="center"/>
    </w:tcPr>
  </w:style>
  <w:style w:type="character" w:styleId="a6">
    <w:name w:val="Hyperlink"/>
    <w:basedOn w:val="a0"/>
    <w:qFormat/>
    <w:rsid w:val="00C6670C"/>
    <w:rPr>
      <w:color w:val="0000FF"/>
      <w:u w:val="single"/>
    </w:rPr>
  </w:style>
  <w:style w:type="paragraph" w:customStyle="1" w:styleId="paragraph">
    <w:name w:val="paragraph"/>
    <w:basedOn w:val="a"/>
    <w:semiHidden/>
    <w:qFormat/>
    <w:rsid w:val="00C6670C"/>
    <w:pPr>
      <w:widowControl/>
      <w:spacing w:before="100" w:beforeAutospacing="1" w:after="100" w:afterAutospacing="1"/>
    </w:pPr>
    <w:rPr>
      <w:rFonts w:ascii="等线" w:eastAsia="等线" w:hAnsi="等线" w:cs="Times New Roman"/>
      <w:kern w:val="0"/>
    </w:rPr>
  </w:style>
  <w:style w:type="paragraph" w:customStyle="1" w:styleId="paragraph1">
    <w:name w:val="paragraph1"/>
    <w:semiHidden/>
    <w:qFormat/>
    <w:rsid w:val="00C6670C"/>
    <w:pPr>
      <w:spacing w:before="100" w:beforeAutospacing="1" w:after="100" w:afterAutospacing="1"/>
    </w:pPr>
    <w:rPr>
      <w:sz w:val="24"/>
      <w:szCs w:val="24"/>
    </w:rPr>
  </w:style>
  <w:style w:type="character" w:customStyle="1" w:styleId="Char0">
    <w:name w:val="页眉 Char"/>
    <w:basedOn w:val="a0"/>
    <w:link w:val="a4"/>
    <w:qFormat/>
    <w:rsid w:val="00C6670C"/>
    <w:rPr>
      <w:kern w:val="2"/>
      <w:sz w:val="18"/>
      <w:szCs w:val="18"/>
    </w:rPr>
  </w:style>
  <w:style w:type="character" w:customStyle="1" w:styleId="Char">
    <w:name w:val="页脚 Char"/>
    <w:basedOn w:val="a0"/>
    <w:link w:val="a3"/>
    <w:uiPriority w:val="99"/>
    <w:qFormat/>
    <w:rsid w:val="00C6670C"/>
    <w:rPr>
      <w:kern w:val="2"/>
      <w:sz w:val="18"/>
      <w:szCs w:val="18"/>
    </w:rPr>
  </w:style>
  <w:style w:type="paragraph" w:styleId="a7">
    <w:name w:val="Balloon Text"/>
    <w:basedOn w:val="a"/>
    <w:link w:val="Char1"/>
    <w:rsid w:val="008434BB"/>
    <w:rPr>
      <w:sz w:val="18"/>
      <w:szCs w:val="18"/>
    </w:rPr>
  </w:style>
  <w:style w:type="character" w:customStyle="1" w:styleId="Char1">
    <w:name w:val="批注框文本 Char"/>
    <w:basedOn w:val="a0"/>
    <w:link w:val="a7"/>
    <w:rsid w:val="008434BB"/>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17</Pages>
  <Words>1421</Words>
  <Characters>8104</Characters>
  <Application>Microsoft Office Word</Application>
  <DocSecurity>0</DocSecurity>
  <Lines>67</Lines>
  <Paragraphs>19</Paragraphs>
  <ScaleCrop>false</ScaleCrop>
  <Company/>
  <LinksUpToDate>false</LinksUpToDate>
  <CharactersWithSpaces>9506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4</cp:revision>
  <dcterms:created xsi:type="dcterms:W3CDTF">2023-04-17T14:25:00Z</dcterms:created>
  <dcterms:modified xsi:type="dcterms:W3CDTF">2024-12-09T05:06:00Z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39919D4749E940EFB1B78CFA7ACC2B99_12</vt:lpwstr>
  </property>
</Properties>
</file>