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spacing w:line="360" w:lineRule="auto"/>
        <w:ind w:left="-420" w:leftChars="-200" w:right="-275" w:rightChars="-131"/>
        <w:jc w:val="center"/>
        <w:rPr>
          <w:rFonts w:ascii="宋体" w:hAnsi="宋体" w:eastAsia="微软雅黑" w:cs="仿宋_GB2312"/>
          <w:b/>
          <w:bCs/>
          <w:color w:val="000000"/>
          <w:kern w:val="0"/>
          <w:sz w:val="32"/>
          <w:szCs w:val="32"/>
        </w:rPr>
      </w:pPr>
      <w:r>
        <w:rPr>
          <w:rFonts w:hint="eastAsia" w:ascii="宋体" w:hAnsi="宋体" w:eastAsia="微软雅黑" w:cs="仿宋_GB2312"/>
          <w:b/>
          <w:bCs/>
          <w:color w:val="000000"/>
          <w:kern w:val="0"/>
          <w:sz w:val="32"/>
          <w:szCs w:val="32"/>
          <w:lang w:eastAsia="zh-CN"/>
        </w:rPr>
        <w:t>四川省职业</w:t>
      </w:r>
      <w:r>
        <w:rPr>
          <w:rFonts w:hint="eastAsia" w:ascii="宋体" w:hAnsi="宋体" w:eastAsia="微软雅黑" w:cs="仿宋_GB2312"/>
          <w:b/>
          <w:bCs/>
          <w:color w:val="000000"/>
          <w:kern w:val="0"/>
          <w:sz w:val="32"/>
          <w:szCs w:val="32"/>
        </w:rPr>
        <w:t>院校检验检疫技术技能竞赛</w:t>
      </w:r>
    </w:p>
    <w:p>
      <w:pPr>
        <w:widowControl/>
        <w:adjustRightInd w:val="0"/>
        <w:snapToGrid w:val="0"/>
        <w:spacing w:line="360" w:lineRule="auto"/>
        <w:ind w:left="-420" w:leftChars="-200" w:right="-275" w:rightChars="-131"/>
        <w:jc w:val="center"/>
        <w:rPr>
          <w:rFonts w:ascii="宋体" w:hAnsi="宋体" w:eastAsia="微软雅黑" w:cs="仿宋_GB2312"/>
          <w:b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微软雅黑" w:cs="仿宋_GB2312"/>
          <w:b/>
          <w:bCs/>
          <w:color w:val="000000"/>
          <w:kern w:val="0"/>
          <w:sz w:val="24"/>
          <w:szCs w:val="24"/>
        </w:rPr>
        <w:t>微生物学检验-革兰染色及细菌分区（四区）划线试卷（高职组）</w:t>
      </w:r>
    </w:p>
    <w:p>
      <w:pPr>
        <w:widowControl/>
        <w:adjustRightInd w:val="0"/>
        <w:snapToGrid w:val="0"/>
        <w:spacing w:line="360" w:lineRule="auto"/>
        <w:ind w:left="-420" w:leftChars="-200" w:right="-275" w:rightChars="-131"/>
        <w:jc w:val="center"/>
        <w:rPr>
          <w:rFonts w:hint="eastAsia" w:ascii="宋体" w:hAnsi="宋体" w:eastAsia="微软雅黑" w:cs="仿宋_GB2312"/>
          <w:b/>
          <w:bCs/>
          <w:color w:val="000000"/>
          <w:kern w:val="0"/>
          <w:sz w:val="24"/>
          <w:szCs w:val="24"/>
        </w:rPr>
      </w:pPr>
    </w:p>
    <w:p>
      <w:pPr>
        <w:widowControl/>
        <w:adjustRightInd w:val="0"/>
        <w:snapToGrid w:val="0"/>
        <w:spacing w:after="200" w:line="360" w:lineRule="exact"/>
        <w:jc w:val="left"/>
        <w:rPr>
          <w:rFonts w:ascii="宋体" w:hAnsi="宋体" w:eastAsia="微软雅黑" w:cs="Times New Roman"/>
          <w:b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微软雅黑" w:cs="Times New Roman"/>
          <w:b/>
          <w:bCs/>
          <w:color w:val="000000"/>
          <w:kern w:val="0"/>
          <w:sz w:val="24"/>
          <w:szCs w:val="24"/>
        </w:rPr>
        <w:t>一、竞赛说明</w:t>
      </w:r>
    </w:p>
    <w:p>
      <w:pPr>
        <w:adjustRightInd w:val="0"/>
        <w:snapToGrid w:val="0"/>
        <w:spacing w:line="360" w:lineRule="auto"/>
        <w:ind w:firstLine="240" w:firstLineChars="100"/>
        <w:rPr>
          <w:rFonts w:ascii="宋体" w:hAnsi="宋体" w:eastAsia="宋体" w:cs="仿宋"/>
          <w:color w:val="000000"/>
          <w:sz w:val="24"/>
          <w:szCs w:val="24"/>
        </w:rPr>
      </w:pPr>
      <w:r>
        <w:rPr>
          <w:rFonts w:hint="eastAsia" w:ascii="宋体" w:hAnsi="宋体" w:eastAsia="宋体" w:cs="仿宋"/>
          <w:color w:val="000000"/>
          <w:sz w:val="24"/>
          <w:szCs w:val="24"/>
        </w:rPr>
        <w:t>1.主要考核医学检验技术专业、卫生检验与检疫技术专业学生对革兰染色、分区划线的熟练程度，在规定时间内完成革兰染色和细菌分区（四区）划线的操作。</w:t>
      </w:r>
    </w:p>
    <w:p>
      <w:pPr>
        <w:adjustRightInd w:val="0"/>
        <w:snapToGrid w:val="0"/>
        <w:spacing w:line="360" w:lineRule="auto"/>
        <w:ind w:firstLine="240" w:firstLineChars="100"/>
        <w:rPr>
          <w:rFonts w:ascii="宋体" w:hAnsi="宋体" w:eastAsia="宋体" w:cs="仿宋"/>
          <w:color w:val="000000"/>
          <w:sz w:val="24"/>
          <w:szCs w:val="24"/>
        </w:rPr>
      </w:pPr>
      <w:r>
        <w:rPr>
          <w:rFonts w:hint="eastAsia" w:ascii="宋体" w:hAnsi="宋体" w:eastAsia="宋体" w:cs="仿宋"/>
          <w:color w:val="000000"/>
          <w:sz w:val="24"/>
          <w:szCs w:val="24"/>
        </w:rPr>
        <w:t>2.本题满分100分，完成时间22分钟，其中</w:t>
      </w:r>
      <w:r>
        <w:rPr>
          <w:rFonts w:hint="eastAsia" w:ascii="宋体" w:hAnsi="宋体" w:eastAsia="宋体" w:cs="仿宋"/>
          <w:sz w:val="24"/>
          <w:szCs w:val="24"/>
        </w:rPr>
        <w:t>细菌分区划线6分钟，革兰染色16分钟。</w:t>
      </w:r>
    </w:p>
    <w:p>
      <w:pPr>
        <w:adjustRightInd w:val="0"/>
        <w:snapToGrid w:val="0"/>
        <w:spacing w:line="360" w:lineRule="auto"/>
        <w:ind w:firstLine="240" w:firstLineChars="100"/>
        <w:rPr>
          <w:rFonts w:ascii="宋体" w:hAnsi="宋体" w:eastAsia="宋体" w:cs="仿宋"/>
          <w:color w:val="000000"/>
          <w:sz w:val="24"/>
          <w:szCs w:val="24"/>
        </w:rPr>
      </w:pPr>
      <w:r>
        <w:rPr>
          <w:rFonts w:hint="eastAsia" w:ascii="宋体" w:hAnsi="宋体" w:eastAsia="宋体" w:cs="仿宋"/>
          <w:color w:val="000000"/>
          <w:sz w:val="24"/>
          <w:szCs w:val="24"/>
        </w:rPr>
        <w:t>3.独立完成，不得相互询问或讨论。</w:t>
      </w:r>
    </w:p>
    <w:p>
      <w:pPr>
        <w:adjustRightInd w:val="0"/>
        <w:snapToGrid w:val="0"/>
        <w:spacing w:line="360" w:lineRule="auto"/>
        <w:ind w:firstLine="240" w:firstLineChars="100"/>
        <w:rPr>
          <w:rFonts w:ascii="宋体" w:hAnsi="宋体" w:eastAsia="宋体" w:cs="仿宋"/>
          <w:color w:val="000000"/>
          <w:sz w:val="24"/>
          <w:szCs w:val="24"/>
        </w:rPr>
      </w:pPr>
      <w:r>
        <w:rPr>
          <w:rFonts w:hint="eastAsia" w:ascii="宋体" w:hAnsi="宋体" w:eastAsia="宋体" w:cs="仿宋"/>
          <w:color w:val="000000"/>
          <w:sz w:val="24"/>
          <w:szCs w:val="24"/>
        </w:rPr>
        <w:t>4.考核成绩为操作过程评分、操作结果和考核时间评分、职业素养之和。</w:t>
      </w:r>
    </w:p>
    <w:p>
      <w:pPr>
        <w:adjustRightInd w:val="0"/>
        <w:snapToGrid w:val="0"/>
        <w:spacing w:line="360" w:lineRule="auto"/>
        <w:ind w:firstLine="240" w:firstLineChars="100"/>
        <w:rPr>
          <w:rFonts w:ascii="宋体" w:hAnsi="宋体" w:eastAsia="宋体" w:cs="仿宋"/>
          <w:color w:val="000000"/>
          <w:sz w:val="24"/>
          <w:szCs w:val="24"/>
        </w:rPr>
      </w:pPr>
      <w:r>
        <w:rPr>
          <w:rFonts w:hint="eastAsia" w:ascii="宋体" w:hAnsi="宋体" w:eastAsia="宋体" w:cs="仿宋"/>
          <w:color w:val="000000"/>
          <w:sz w:val="24"/>
          <w:szCs w:val="24"/>
        </w:rPr>
        <w:t>5.全部操作过程时间和操作后处理时间计入时间限额，超过规定时间将终止操作。</w:t>
      </w:r>
    </w:p>
    <w:p>
      <w:pPr>
        <w:widowControl/>
        <w:adjustRightInd w:val="0"/>
        <w:snapToGrid w:val="0"/>
        <w:spacing w:after="200" w:line="360" w:lineRule="exact"/>
        <w:jc w:val="left"/>
        <w:rPr>
          <w:rFonts w:ascii="宋体" w:hAnsi="宋体" w:eastAsia="微软雅黑" w:cs="Times New Roman"/>
          <w:b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微软雅黑" w:cs="Times New Roman"/>
          <w:b/>
          <w:bCs/>
          <w:color w:val="000000"/>
          <w:kern w:val="0"/>
          <w:sz w:val="24"/>
          <w:szCs w:val="24"/>
        </w:rPr>
        <w:t>二、实验原理</w:t>
      </w:r>
    </w:p>
    <w:p>
      <w:pPr>
        <w:widowControl/>
        <w:adjustRightInd w:val="0"/>
        <w:snapToGrid w:val="0"/>
        <w:spacing w:line="360" w:lineRule="auto"/>
        <w:ind w:firstLine="240" w:firstLineChars="100"/>
        <w:rPr>
          <w:rFonts w:ascii="宋体" w:hAnsi="宋体" w:eastAsia="宋体" w:cs="Calibri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Calibri"/>
          <w:color w:val="000000"/>
          <w:kern w:val="0"/>
          <w:sz w:val="24"/>
          <w:szCs w:val="24"/>
        </w:rPr>
        <w:t>1</w:t>
      </w:r>
      <w:r>
        <w:rPr>
          <w:rFonts w:ascii="宋体" w:hAnsi="宋体" w:eastAsia="宋体" w:cs="Calibri"/>
          <w:color w:val="000000"/>
          <w:kern w:val="0"/>
          <w:sz w:val="24"/>
          <w:szCs w:val="24"/>
        </w:rPr>
        <w:t>.</w:t>
      </w:r>
      <w:r>
        <w:rPr>
          <w:rFonts w:hint="eastAsia" w:ascii="宋体" w:hAnsi="宋体" w:eastAsia="宋体" w:cs="Calibri"/>
          <w:color w:val="000000"/>
          <w:kern w:val="0"/>
          <w:sz w:val="24"/>
          <w:szCs w:val="24"/>
        </w:rPr>
        <w:t>细菌分区（四区）划线</w:t>
      </w:r>
    </w:p>
    <w:p>
      <w:pPr>
        <w:widowControl/>
        <w:adjustRightInd w:val="0"/>
        <w:snapToGrid w:val="0"/>
        <w:spacing w:line="360" w:lineRule="auto"/>
        <w:ind w:firstLine="240" w:firstLineChars="100"/>
        <w:rPr>
          <w:rFonts w:ascii="宋体" w:hAnsi="宋体" w:eastAsia="宋体" w:cs="Calibri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Calibri"/>
          <w:color w:val="000000"/>
          <w:kern w:val="0"/>
          <w:sz w:val="24"/>
          <w:szCs w:val="24"/>
        </w:rPr>
        <w:t>是将微生物样品在固体培养基表面多次作“由点到线”稀释而达到分离的目的。</w:t>
      </w:r>
    </w:p>
    <w:p>
      <w:pPr>
        <w:widowControl/>
        <w:adjustRightInd w:val="0"/>
        <w:snapToGrid w:val="0"/>
        <w:spacing w:line="360" w:lineRule="auto"/>
        <w:ind w:firstLine="240" w:firstLineChars="100"/>
        <w:rPr>
          <w:rFonts w:ascii="宋体" w:hAnsi="宋体" w:eastAsia="宋体" w:cs="Calibri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Calibri"/>
          <w:color w:val="000000"/>
          <w:kern w:val="0"/>
          <w:sz w:val="24"/>
          <w:szCs w:val="24"/>
        </w:rPr>
        <w:t>2</w:t>
      </w:r>
      <w:r>
        <w:rPr>
          <w:rFonts w:ascii="宋体" w:hAnsi="宋体" w:eastAsia="宋体" w:cs="Calibri"/>
          <w:color w:val="000000"/>
          <w:kern w:val="0"/>
          <w:sz w:val="24"/>
          <w:szCs w:val="24"/>
        </w:rPr>
        <w:t>.</w:t>
      </w:r>
      <w:r>
        <w:rPr>
          <w:rFonts w:hint="eastAsia" w:ascii="宋体" w:hAnsi="宋体" w:eastAsia="宋体" w:cs="Calibri"/>
          <w:color w:val="000000"/>
          <w:kern w:val="0"/>
          <w:sz w:val="24"/>
          <w:szCs w:val="24"/>
        </w:rPr>
        <w:t>革兰染色</w:t>
      </w:r>
    </w:p>
    <w:p>
      <w:pPr>
        <w:widowControl/>
        <w:adjustRightInd w:val="0"/>
        <w:snapToGrid w:val="0"/>
        <w:spacing w:line="360" w:lineRule="auto"/>
        <w:ind w:firstLine="240" w:firstLineChars="100"/>
        <w:rPr>
          <w:rFonts w:ascii="宋体" w:hAnsi="宋体" w:eastAsia="宋体" w:cs="Calibri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Calibri"/>
          <w:color w:val="000000"/>
          <w:kern w:val="0"/>
          <w:sz w:val="24"/>
          <w:szCs w:val="24"/>
        </w:rPr>
        <w:t>G</w:t>
      </w:r>
      <w:r>
        <w:rPr>
          <w:rFonts w:hint="eastAsia" w:ascii="宋体" w:hAnsi="宋体" w:eastAsia="宋体" w:cs="Calibri"/>
          <w:color w:val="000000"/>
          <w:kern w:val="0"/>
          <w:sz w:val="24"/>
          <w:szCs w:val="24"/>
          <w:vertAlign w:val="superscript"/>
        </w:rPr>
        <w:t>＋</w:t>
      </w:r>
      <w:r>
        <w:rPr>
          <w:rFonts w:hint="eastAsia" w:ascii="宋体" w:hAnsi="宋体" w:eastAsia="宋体" w:cs="Calibri"/>
          <w:color w:val="000000"/>
          <w:kern w:val="0"/>
          <w:sz w:val="24"/>
          <w:szCs w:val="24"/>
        </w:rPr>
        <w:t>菌：细胞壁结构较致密，肽聚糖层厚，脂质少，乙醇脱色时不易渗入菌体，并能使细胞壁脱水，间隙缩小，通透性下降，阻止结晶紫-碘复合物从胞内渗出，保留紫色。</w:t>
      </w:r>
    </w:p>
    <w:p>
      <w:pPr>
        <w:widowControl/>
        <w:adjustRightInd w:val="0"/>
        <w:snapToGrid w:val="0"/>
        <w:spacing w:line="360" w:lineRule="auto"/>
        <w:ind w:firstLine="240" w:firstLineChars="100"/>
        <w:rPr>
          <w:rFonts w:ascii="宋体" w:hAnsi="宋体" w:eastAsia="宋体" w:cs="Calibri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Calibri"/>
          <w:color w:val="000000"/>
          <w:kern w:val="0"/>
          <w:sz w:val="24"/>
          <w:szCs w:val="24"/>
        </w:rPr>
        <w:t>G</w:t>
      </w:r>
      <w:r>
        <w:rPr>
          <w:rFonts w:hint="eastAsia" w:ascii="宋体" w:hAnsi="宋体" w:eastAsia="宋体" w:cs="Calibri"/>
          <w:color w:val="000000"/>
          <w:kern w:val="0"/>
          <w:sz w:val="24"/>
          <w:szCs w:val="24"/>
          <w:vertAlign w:val="superscript"/>
        </w:rPr>
        <w:t>－</w:t>
      </w:r>
      <w:r>
        <w:rPr>
          <w:rFonts w:hint="eastAsia" w:ascii="宋体" w:hAnsi="宋体" w:eastAsia="宋体" w:cs="Calibri"/>
          <w:color w:val="000000"/>
          <w:kern w:val="0"/>
          <w:sz w:val="24"/>
          <w:szCs w:val="24"/>
        </w:rPr>
        <w:t>菌：细胞壁结构较疏松，肽聚糖层薄，脂质多，易被乙醇溶解，使细胞壁通透性增高，菌体内的结晶紫-碘复合物易被乙醇溶解逸出而脱掉紫色，经沙黄或稀释石碳酸复红复染后呈红色。</w:t>
      </w:r>
    </w:p>
    <w:p>
      <w:pPr>
        <w:widowControl/>
        <w:adjustRightInd w:val="0"/>
        <w:snapToGrid w:val="0"/>
        <w:spacing w:after="200" w:line="360" w:lineRule="exact"/>
        <w:jc w:val="left"/>
        <w:rPr>
          <w:rFonts w:ascii="宋体" w:hAnsi="宋体" w:eastAsia="微软雅黑" w:cs="Times New Roman"/>
          <w:b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微软雅黑" w:cs="Times New Roman"/>
          <w:b/>
          <w:bCs/>
          <w:color w:val="000000"/>
          <w:kern w:val="0"/>
          <w:sz w:val="24"/>
          <w:szCs w:val="24"/>
        </w:rPr>
        <w:t>三、实验器材和试剂</w:t>
      </w:r>
    </w:p>
    <w:p>
      <w:pPr>
        <w:widowControl/>
        <w:adjustRightInd w:val="0"/>
        <w:snapToGrid w:val="0"/>
        <w:spacing w:line="360" w:lineRule="auto"/>
        <w:ind w:firstLine="240" w:firstLineChars="100"/>
        <w:rPr>
          <w:rFonts w:ascii="宋体" w:hAnsi="宋体" w:eastAsia="宋体" w:cs="Calibri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Calibri"/>
          <w:color w:val="000000"/>
          <w:kern w:val="0"/>
          <w:sz w:val="24"/>
          <w:szCs w:val="24"/>
        </w:rPr>
        <w:t>1</w:t>
      </w:r>
      <w:r>
        <w:rPr>
          <w:rFonts w:ascii="宋体" w:hAnsi="宋体" w:eastAsia="宋体" w:cs="Calibri"/>
          <w:color w:val="000000"/>
          <w:kern w:val="0"/>
          <w:sz w:val="24"/>
          <w:szCs w:val="24"/>
        </w:rPr>
        <w:t>.</w:t>
      </w:r>
      <w:r>
        <w:rPr>
          <w:rFonts w:hint="eastAsia" w:ascii="宋体" w:hAnsi="宋体" w:eastAsia="宋体" w:cs="Calibri"/>
          <w:color w:val="000000"/>
          <w:kern w:val="0"/>
          <w:sz w:val="24"/>
          <w:szCs w:val="24"/>
        </w:rPr>
        <w:t>分区（四区）划线法</w:t>
      </w:r>
    </w:p>
    <w:p>
      <w:pPr>
        <w:widowControl/>
        <w:adjustRightInd w:val="0"/>
        <w:snapToGrid w:val="0"/>
        <w:spacing w:line="360" w:lineRule="auto"/>
        <w:ind w:firstLine="240" w:firstLineChars="100"/>
        <w:rPr>
          <w:rFonts w:ascii="宋体" w:hAnsi="宋体" w:eastAsia="宋体" w:cs="Calibri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Calibri"/>
          <w:color w:val="000000"/>
          <w:kern w:val="0"/>
          <w:sz w:val="24"/>
          <w:szCs w:val="24"/>
        </w:rPr>
        <w:t>标本（7cm血平板培养物）、9cm血平板、记号笔、不干胶标签（约2</w:t>
      </w:r>
      <w:r>
        <w:rPr>
          <w:rFonts w:ascii="宋体" w:hAnsi="宋体" w:eastAsia="宋体" w:cs="Calibri"/>
          <w:color w:val="000000"/>
          <w:kern w:val="0"/>
          <w:sz w:val="24"/>
          <w:szCs w:val="24"/>
        </w:rPr>
        <w:t>×</w:t>
      </w:r>
      <w:r>
        <w:rPr>
          <w:rFonts w:hint="eastAsia" w:ascii="宋体" w:hAnsi="宋体" w:eastAsia="宋体" w:cs="Calibri"/>
          <w:color w:val="000000"/>
          <w:kern w:val="0"/>
          <w:sz w:val="24"/>
          <w:szCs w:val="24"/>
        </w:rPr>
        <w:t>3厘米方形）、生物安全柜、接种环、试管架、计时器、恒温培养箱等。</w:t>
      </w:r>
    </w:p>
    <w:p>
      <w:pPr>
        <w:widowControl/>
        <w:adjustRightInd w:val="0"/>
        <w:snapToGrid w:val="0"/>
        <w:spacing w:line="360" w:lineRule="auto"/>
        <w:ind w:firstLine="240" w:firstLineChars="100"/>
        <w:rPr>
          <w:rFonts w:ascii="宋体" w:hAnsi="宋体" w:eastAsia="宋体" w:cs="Calibri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Calibri"/>
          <w:color w:val="000000"/>
          <w:kern w:val="0"/>
          <w:sz w:val="24"/>
          <w:szCs w:val="24"/>
        </w:rPr>
        <w:t>2</w:t>
      </w:r>
      <w:r>
        <w:rPr>
          <w:rFonts w:ascii="宋体" w:hAnsi="宋体" w:eastAsia="宋体" w:cs="Calibri"/>
          <w:color w:val="000000"/>
          <w:kern w:val="0"/>
          <w:sz w:val="24"/>
          <w:szCs w:val="24"/>
        </w:rPr>
        <w:t>.</w:t>
      </w:r>
      <w:r>
        <w:rPr>
          <w:rFonts w:hint="eastAsia" w:ascii="宋体" w:hAnsi="宋体" w:eastAsia="宋体" w:cs="Calibri"/>
          <w:color w:val="000000"/>
          <w:kern w:val="0"/>
          <w:sz w:val="24"/>
          <w:szCs w:val="24"/>
        </w:rPr>
        <w:t>革兰染色</w:t>
      </w:r>
    </w:p>
    <w:p>
      <w:pPr>
        <w:widowControl/>
        <w:adjustRightInd w:val="0"/>
        <w:snapToGrid w:val="0"/>
        <w:spacing w:line="360" w:lineRule="auto"/>
        <w:ind w:firstLine="240" w:firstLineChars="100"/>
        <w:rPr>
          <w:rFonts w:ascii="宋体" w:hAnsi="宋体" w:eastAsia="宋体" w:cs="Calibri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Calibri"/>
          <w:color w:val="000000"/>
          <w:kern w:val="0"/>
          <w:sz w:val="24"/>
          <w:szCs w:val="24"/>
        </w:rPr>
        <w:t>载玻片、试管架、红蓝铅笔、接种环、记号笔、酒精灯、打火机、生理盐水、吸水纸、冲洗瓶、计时器、纱布（可用于拭擦玻片）、显微镜、香柏油、擦镜纸、擦镜液、染色盘、染色架、消毒洗手液、洗面盆、抹布、锐器盒、普通污物缸、废液缸、标本盒等。</w:t>
      </w:r>
    </w:p>
    <w:p>
      <w:pPr>
        <w:widowControl/>
        <w:adjustRightInd w:val="0"/>
        <w:snapToGrid w:val="0"/>
        <w:spacing w:line="360" w:lineRule="auto"/>
        <w:ind w:firstLine="240" w:firstLineChars="100"/>
        <w:rPr>
          <w:rFonts w:ascii="宋体" w:hAnsi="宋体" w:eastAsia="宋体" w:cs="Calibri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Calibri"/>
          <w:color w:val="000000"/>
          <w:kern w:val="0"/>
          <w:sz w:val="24"/>
          <w:szCs w:val="24"/>
        </w:rPr>
        <w:t>3</w:t>
      </w:r>
      <w:r>
        <w:rPr>
          <w:rFonts w:ascii="宋体" w:hAnsi="宋体" w:eastAsia="宋体" w:cs="Calibri"/>
          <w:color w:val="000000"/>
          <w:kern w:val="0"/>
          <w:sz w:val="24"/>
          <w:szCs w:val="24"/>
        </w:rPr>
        <w:t>.</w:t>
      </w:r>
      <w:r>
        <w:rPr>
          <w:rFonts w:hint="eastAsia" w:ascii="宋体" w:hAnsi="宋体" w:eastAsia="宋体" w:cs="Calibri"/>
          <w:color w:val="000000"/>
          <w:kern w:val="0"/>
          <w:sz w:val="24"/>
          <w:szCs w:val="24"/>
        </w:rPr>
        <w:t>实验试剂</w:t>
      </w:r>
    </w:p>
    <w:p>
      <w:pPr>
        <w:widowControl/>
        <w:adjustRightInd w:val="0"/>
        <w:snapToGrid w:val="0"/>
        <w:spacing w:line="360" w:lineRule="auto"/>
        <w:ind w:firstLine="240" w:firstLineChars="100"/>
        <w:rPr>
          <w:rFonts w:ascii="宋体" w:hAnsi="宋体" w:eastAsia="宋体" w:cs="Calibri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Calibri"/>
          <w:color w:val="000000"/>
          <w:kern w:val="0"/>
          <w:sz w:val="24"/>
          <w:szCs w:val="24"/>
        </w:rPr>
        <w:t>革兰氏染液（杭州滨和微生物试剂有限公司）：结晶紫染液、碘液、脱色液（95%乙醇）、复染液。(连包装盒一起存放在上述托盘里，由选手取出使用，操作完毕后放回原位。)</w:t>
      </w:r>
    </w:p>
    <w:p>
      <w:pPr>
        <w:widowControl/>
        <w:adjustRightInd w:val="0"/>
        <w:snapToGrid w:val="0"/>
        <w:spacing w:after="200" w:line="360" w:lineRule="exact"/>
        <w:jc w:val="left"/>
        <w:rPr>
          <w:rFonts w:ascii="宋体" w:hAnsi="宋体" w:eastAsia="微软雅黑" w:cs="Times New Roman"/>
          <w:b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微软雅黑" w:cs="Times New Roman"/>
          <w:b/>
          <w:bCs/>
          <w:color w:val="000000"/>
          <w:kern w:val="0"/>
          <w:sz w:val="24"/>
          <w:szCs w:val="24"/>
        </w:rPr>
        <w:t>四、实验标本</w:t>
      </w:r>
    </w:p>
    <w:p>
      <w:pPr>
        <w:tabs>
          <w:tab w:val="left" w:pos="360"/>
        </w:tabs>
        <w:spacing w:line="360" w:lineRule="auto"/>
        <w:ind w:firstLine="240" w:firstLineChars="100"/>
        <w:jc w:val="left"/>
        <w:rPr>
          <w:rFonts w:ascii="宋体" w:hAnsi="宋体" w:eastAsia="宋体" w:cs="仿宋"/>
          <w:color w:val="000000"/>
          <w:sz w:val="24"/>
          <w:szCs w:val="24"/>
        </w:rPr>
      </w:pPr>
      <w:r>
        <w:rPr>
          <w:rFonts w:hint="eastAsia" w:ascii="宋体" w:hAnsi="宋体" w:eastAsia="宋体" w:cs="仿宋"/>
          <w:color w:val="000000"/>
          <w:sz w:val="24"/>
          <w:szCs w:val="24"/>
        </w:rPr>
        <w:t>7cm血平板细菌培养物</w:t>
      </w:r>
    </w:p>
    <w:p>
      <w:pPr>
        <w:widowControl/>
        <w:adjustRightInd w:val="0"/>
        <w:snapToGrid w:val="0"/>
        <w:spacing w:after="200" w:line="360" w:lineRule="exact"/>
        <w:jc w:val="left"/>
        <w:rPr>
          <w:rFonts w:ascii="仿宋" w:hAnsi="仿宋" w:eastAsia="仿宋" w:cs="仿宋"/>
          <w:color w:val="000000"/>
          <w:szCs w:val="21"/>
        </w:rPr>
      </w:pPr>
      <w:r>
        <w:rPr>
          <w:rFonts w:hint="eastAsia" w:ascii="宋体" w:hAnsi="宋体" w:eastAsia="微软雅黑" w:cs="Times New Roman"/>
          <w:b/>
          <w:bCs/>
          <w:color w:val="000000"/>
          <w:kern w:val="0"/>
          <w:sz w:val="24"/>
          <w:szCs w:val="24"/>
        </w:rPr>
        <w:t>五、操作步骤</w:t>
      </w:r>
    </w:p>
    <w:p>
      <w:pPr>
        <w:widowControl/>
        <w:adjustRightInd w:val="0"/>
        <w:snapToGrid w:val="0"/>
        <w:spacing w:line="360" w:lineRule="auto"/>
        <w:ind w:firstLine="240" w:firstLineChars="100"/>
        <w:rPr>
          <w:rFonts w:ascii="宋体" w:hAnsi="宋体" w:eastAsia="宋体" w:cs="Calibri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Calibri"/>
          <w:color w:val="000000"/>
          <w:kern w:val="0"/>
          <w:sz w:val="24"/>
          <w:szCs w:val="24"/>
        </w:rPr>
        <w:t>1</w:t>
      </w:r>
      <w:r>
        <w:rPr>
          <w:rFonts w:ascii="宋体" w:hAnsi="宋体" w:eastAsia="宋体" w:cs="Calibri"/>
          <w:color w:val="000000"/>
          <w:kern w:val="0"/>
          <w:sz w:val="24"/>
          <w:szCs w:val="24"/>
        </w:rPr>
        <w:t>.</w:t>
      </w:r>
      <w:r>
        <w:rPr>
          <w:rFonts w:hint="eastAsia" w:ascii="宋体" w:hAnsi="宋体" w:eastAsia="宋体" w:cs="Calibri"/>
          <w:color w:val="000000"/>
          <w:kern w:val="0"/>
          <w:sz w:val="24"/>
          <w:szCs w:val="24"/>
        </w:rPr>
        <w:t>细菌分区（四</w:t>
      </w:r>
      <w:r>
        <w:rPr>
          <w:rFonts w:ascii="宋体" w:hAnsi="宋体" w:eastAsia="宋体" w:cs="Calibri"/>
          <w:color w:val="000000"/>
          <w:kern w:val="0"/>
          <w:sz w:val="24"/>
          <w:szCs w:val="24"/>
        </w:rPr>
        <w:t>区</w:t>
      </w:r>
      <w:r>
        <w:rPr>
          <w:rFonts w:hint="eastAsia" w:ascii="宋体" w:hAnsi="宋体" w:eastAsia="宋体" w:cs="Calibri"/>
          <w:color w:val="000000"/>
          <w:kern w:val="0"/>
          <w:sz w:val="24"/>
          <w:szCs w:val="24"/>
        </w:rPr>
        <w:t>）</w:t>
      </w:r>
      <w:r>
        <w:rPr>
          <w:rFonts w:ascii="宋体" w:hAnsi="宋体" w:eastAsia="宋体" w:cs="Calibri"/>
          <w:color w:val="000000"/>
          <w:kern w:val="0"/>
          <w:sz w:val="24"/>
          <w:szCs w:val="24"/>
        </w:rPr>
        <w:t>划线法</w:t>
      </w:r>
    </w:p>
    <w:p>
      <w:pPr>
        <w:widowControl/>
        <w:adjustRightInd w:val="0"/>
        <w:snapToGrid w:val="0"/>
        <w:spacing w:line="360" w:lineRule="auto"/>
        <w:ind w:firstLine="240" w:firstLineChars="100"/>
        <w:rPr>
          <w:rFonts w:ascii="宋体" w:hAnsi="宋体" w:eastAsia="宋体" w:cs="Calibri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Calibri"/>
          <w:color w:val="000000"/>
          <w:kern w:val="0"/>
          <w:sz w:val="24"/>
          <w:szCs w:val="24"/>
        </w:rPr>
        <w:t>（1）标记  在9cm平板底部粘贴上不干胶标签，并用签字笔在标签上正确标记。</w:t>
      </w:r>
    </w:p>
    <w:p>
      <w:pPr>
        <w:widowControl/>
        <w:adjustRightInd w:val="0"/>
        <w:snapToGrid w:val="0"/>
        <w:spacing w:line="360" w:lineRule="auto"/>
        <w:ind w:firstLine="240" w:firstLineChars="100"/>
        <w:rPr>
          <w:rFonts w:ascii="宋体" w:hAnsi="宋体" w:eastAsia="宋体" w:cs="Calibri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Calibri"/>
          <w:color w:val="000000"/>
          <w:kern w:val="0"/>
          <w:sz w:val="24"/>
          <w:szCs w:val="24"/>
        </w:rPr>
        <w:t>（2）取菌  右手持接种环（执笔式）伸入红外线灭菌器腔内6～8秒</w:t>
      </w:r>
      <w:r>
        <w:rPr>
          <w:rFonts w:ascii="宋体" w:hAnsi="宋体" w:eastAsia="宋体" w:cs="Calibri"/>
          <w:color w:val="000000"/>
          <w:kern w:val="0"/>
          <w:sz w:val="24"/>
          <w:szCs w:val="24"/>
        </w:rPr>
        <w:t>，</w:t>
      </w:r>
      <w:r>
        <w:rPr>
          <w:rFonts w:hint="eastAsia" w:ascii="宋体" w:hAnsi="宋体" w:eastAsia="宋体" w:cs="Calibri"/>
          <w:color w:val="000000"/>
          <w:kern w:val="0"/>
          <w:sz w:val="24"/>
          <w:szCs w:val="24"/>
        </w:rPr>
        <w:t>外移接种环，离开红外线灭菌器内腔，待冷却后挑取少许标本。</w:t>
      </w:r>
    </w:p>
    <w:p>
      <w:pPr>
        <w:widowControl/>
        <w:adjustRightInd w:val="0"/>
        <w:snapToGrid w:val="0"/>
        <w:spacing w:line="360" w:lineRule="auto"/>
        <w:ind w:firstLine="240" w:firstLineChars="100"/>
        <w:rPr>
          <w:rFonts w:ascii="宋体" w:hAnsi="宋体" w:eastAsia="宋体" w:cs="Calibri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Calibri"/>
          <w:color w:val="000000"/>
          <w:kern w:val="0"/>
          <w:sz w:val="24"/>
          <w:szCs w:val="24"/>
        </w:rPr>
        <w:t>（3）划线  左手持琼脂平板适当倾斜，用拇指打开皿盖，使其与皿底间分开2～3cm宽的缝隙，右手持取标本的接种环深入皿内，先将细菌标本在培养基一角涂成直径约一厘米薄膜，并以此为起点，使接种环与接种平板面呈30°～40°角，以腕力在平板表面进行，连续不重叠划线，作为第一区，其范围不能超过平板的 1/4；灭菌接种环，待冷却后，转动平皿至适合操作的位置（各区的交角应为120°左右，即平板转动一定角度约60°，以便充分利用整个平板的面积），将接种环通过第一区 3～4 次，连续不重叠划线，作为第二区。同法依次划完第三、四区，第四区切勿重新接触第一、二区。注意每区的划线须有数条线与上区交叉接触，每区线间需保持一定距离，线条要密而不重复；划第三至第四区间可不灭菌接种环。</w:t>
      </w:r>
    </w:p>
    <w:p>
      <w:pPr>
        <w:widowControl/>
        <w:adjustRightInd w:val="0"/>
        <w:snapToGrid w:val="0"/>
        <w:spacing w:line="360" w:lineRule="auto"/>
        <w:ind w:left="210" w:leftChars="100"/>
        <w:rPr>
          <w:rFonts w:ascii="宋体" w:hAnsi="宋体" w:eastAsia="宋体" w:cs="Calibri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Calibri"/>
          <w:color w:val="000000"/>
          <w:kern w:val="0"/>
          <w:sz w:val="24"/>
          <w:szCs w:val="24"/>
        </w:rPr>
        <w:t>（4）培养  划线完毕，盖好皿盖，倒置放入37℃恒温培养箱中培养18～24h。（5）观察结果  培养18～24h后，从恒温培养箱中取出，观察菌落生长情况并计数单个菌落数量。</w:t>
      </w:r>
    </w:p>
    <w:p>
      <w:pPr>
        <w:widowControl/>
        <w:adjustRightInd w:val="0"/>
        <w:snapToGrid w:val="0"/>
        <w:spacing w:line="360" w:lineRule="auto"/>
        <w:ind w:firstLine="240" w:firstLineChars="100"/>
        <w:rPr>
          <w:rFonts w:ascii="宋体" w:hAnsi="宋体" w:eastAsia="宋体" w:cs="Calibri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Calibri"/>
          <w:color w:val="000000"/>
          <w:kern w:val="0"/>
          <w:sz w:val="24"/>
          <w:szCs w:val="24"/>
        </w:rPr>
        <w:t>2</w:t>
      </w:r>
      <w:r>
        <w:rPr>
          <w:rFonts w:ascii="宋体" w:hAnsi="宋体" w:eastAsia="宋体" w:cs="Calibri"/>
          <w:color w:val="000000"/>
          <w:kern w:val="0"/>
          <w:sz w:val="24"/>
          <w:szCs w:val="24"/>
        </w:rPr>
        <w:t>.</w:t>
      </w:r>
      <w:r>
        <w:rPr>
          <w:rFonts w:hint="eastAsia" w:ascii="宋体" w:hAnsi="宋体" w:eastAsia="宋体" w:cs="Calibri"/>
          <w:color w:val="000000"/>
          <w:kern w:val="0"/>
          <w:sz w:val="24"/>
          <w:szCs w:val="24"/>
        </w:rPr>
        <w:t xml:space="preserve">革兰染色  </w:t>
      </w:r>
    </w:p>
    <w:p>
      <w:pPr>
        <w:widowControl/>
        <w:adjustRightInd w:val="0"/>
        <w:snapToGrid w:val="0"/>
        <w:spacing w:line="360" w:lineRule="auto"/>
        <w:ind w:firstLine="240" w:firstLineChars="100"/>
        <w:rPr>
          <w:rFonts w:ascii="宋体" w:hAnsi="宋体" w:eastAsia="宋体" w:cs="Calibri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Calibri"/>
          <w:color w:val="000000"/>
          <w:kern w:val="0"/>
          <w:sz w:val="24"/>
          <w:szCs w:val="24"/>
        </w:rPr>
        <w:t>（1）标记  选择玻片并正确编号。</w:t>
      </w:r>
    </w:p>
    <w:p>
      <w:pPr>
        <w:widowControl/>
        <w:adjustRightInd w:val="0"/>
        <w:snapToGrid w:val="0"/>
        <w:spacing w:line="360" w:lineRule="auto"/>
        <w:ind w:firstLine="240" w:firstLineChars="100"/>
        <w:rPr>
          <w:rFonts w:ascii="宋体" w:hAnsi="宋体" w:eastAsia="宋体" w:cs="Calibri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Calibri"/>
          <w:color w:val="000000"/>
          <w:kern w:val="0"/>
          <w:sz w:val="24"/>
          <w:szCs w:val="24"/>
        </w:rPr>
        <w:t>（2）涂片  用灭菌接种环挑取菌落与载玻片上预先滴加的生理盐水涂布成1cm</w:t>
      </w:r>
      <w:r>
        <w:rPr>
          <w:rFonts w:hint="eastAsia" w:ascii="宋体" w:hAnsi="宋体" w:eastAsia="宋体" w:cs="Calibri"/>
          <w:color w:val="000000"/>
          <w:kern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Calibri"/>
          <w:color w:val="000000"/>
          <w:kern w:val="0"/>
          <w:sz w:val="24"/>
          <w:szCs w:val="24"/>
        </w:rPr>
        <w:t>或蚕豆大小的均匀半透明菌膜。</w:t>
      </w:r>
    </w:p>
    <w:p>
      <w:pPr>
        <w:widowControl/>
        <w:adjustRightInd w:val="0"/>
        <w:snapToGrid w:val="0"/>
        <w:spacing w:line="360" w:lineRule="auto"/>
        <w:ind w:firstLine="240" w:firstLineChars="100"/>
        <w:rPr>
          <w:rFonts w:ascii="宋体" w:hAnsi="宋体" w:eastAsia="宋体" w:cs="Calibri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Calibri"/>
          <w:color w:val="000000"/>
          <w:kern w:val="0"/>
          <w:sz w:val="24"/>
          <w:szCs w:val="24"/>
        </w:rPr>
        <w:t>（3）干燥  涂片制成后，在空气中使其迅速干燥，以免菌体皱缩变形（若需加快干燥速度，将涂布面朝上，置于火焰上方，不烫手的位置，慢慢烘干，切勿紧贴火焰）。</w:t>
      </w:r>
    </w:p>
    <w:p>
      <w:pPr>
        <w:widowControl/>
        <w:adjustRightInd w:val="0"/>
        <w:snapToGrid w:val="0"/>
        <w:spacing w:line="360" w:lineRule="auto"/>
        <w:ind w:firstLine="240" w:firstLineChars="100"/>
        <w:rPr>
          <w:rFonts w:ascii="宋体" w:hAnsi="宋体" w:eastAsia="宋体" w:cs="Calibri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Calibri"/>
          <w:color w:val="000000"/>
          <w:kern w:val="0"/>
          <w:sz w:val="24"/>
          <w:szCs w:val="24"/>
        </w:rPr>
        <w:t>（4）固定  玻片干燥后用火焰加热法固定，即玻片（菌膜面向上）以中速（钟摆速度）来回通过火焰外焰3次进行固定，以玻片反面接触手背皮肤，热而不烫为宜。</w:t>
      </w:r>
    </w:p>
    <w:p>
      <w:pPr>
        <w:widowControl/>
        <w:adjustRightInd w:val="0"/>
        <w:snapToGrid w:val="0"/>
        <w:spacing w:line="360" w:lineRule="auto"/>
        <w:ind w:firstLine="240" w:firstLineChars="100"/>
        <w:rPr>
          <w:rFonts w:ascii="宋体" w:hAnsi="宋体" w:eastAsia="宋体" w:cs="Calibri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Calibri"/>
          <w:color w:val="000000"/>
          <w:kern w:val="0"/>
          <w:sz w:val="24"/>
          <w:szCs w:val="24"/>
        </w:rPr>
        <w:t>（5）初染  加结晶紫染液，染60秒，细流水冲洗，并倒去玻片上积水。</w:t>
      </w:r>
    </w:p>
    <w:p>
      <w:pPr>
        <w:widowControl/>
        <w:adjustRightInd w:val="0"/>
        <w:snapToGrid w:val="0"/>
        <w:spacing w:line="360" w:lineRule="auto"/>
        <w:ind w:firstLine="240" w:firstLineChars="100"/>
        <w:rPr>
          <w:rFonts w:ascii="宋体" w:hAnsi="宋体" w:eastAsia="宋体" w:cs="Calibri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Calibri"/>
          <w:color w:val="000000"/>
          <w:kern w:val="0"/>
          <w:sz w:val="24"/>
          <w:szCs w:val="24"/>
        </w:rPr>
        <w:t>（6）媒染  加碘液，染60秒，细流水冲洗，倒去玻片上积水。</w:t>
      </w:r>
    </w:p>
    <w:p>
      <w:pPr>
        <w:widowControl/>
        <w:adjustRightInd w:val="0"/>
        <w:snapToGrid w:val="0"/>
        <w:spacing w:line="360" w:lineRule="auto"/>
        <w:ind w:firstLine="240" w:firstLineChars="100"/>
        <w:rPr>
          <w:rFonts w:ascii="宋体" w:hAnsi="宋体" w:eastAsia="宋体" w:cs="Calibri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Calibri"/>
          <w:color w:val="000000"/>
          <w:kern w:val="0"/>
          <w:sz w:val="24"/>
          <w:szCs w:val="24"/>
        </w:rPr>
        <w:t>（7）脱色  加脱色液，脱色 10～30秒，不时摇动至无紫色逸出为止，细流水冲洗，倒去玻片上积水。</w:t>
      </w:r>
    </w:p>
    <w:p>
      <w:pPr>
        <w:widowControl/>
        <w:adjustRightInd w:val="0"/>
        <w:snapToGrid w:val="0"/>
        <w:spacing w:line="360" w:lineRule="auto"/>
        <w:ind w:firstLine="240" w:firstLineChars="100"/>
        <w:rPr>
          <w:rFonts w:ascii="宋体" w:hAnsi="宋体" w:eastAsia="宋体" w:cs="Calibri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Calibri"/>
          <w:color w:val="000000"/>
          <w:kern w:val="0"/>
          <w:sz w:val="24"/>
          <w:szCs w:val="24"/>
        </w:rPr>
        <w:t>（8）复染  加复染液，染30～60秒，细流水冲洗，倒去玻片上积水。</w:t>
      </w:r>
    </w:p>
    <w:p>
      <w:pPr>
        <w:widowControl/>
        <w:adjustRightInd w:val="0"/>
        <w:snapToGrid w:val="0"/>
        <w:spacing w:line="360" w:lineRule="auto"/>
        <w:ind w:firstLine="240" w:firstLineChars="100"/>
        <w:rPr>
          <w:rFonts w:ascii="宋体" w:hAnsi="宋体" w:eastAsia="宋体" w:cs="Calibri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Calibri"/>
          <w:color w:val="000000"/>
          <w:kern w:val="0"/>
          <w:sz w:val="24"/>
          <w:szCs w:val="24"/>
        </w:rPr>
        <w:t>（9）镜检  待已染色的细菌标本片自然干燥或用吸水纸吸干后，再用显微镜进行观察。</w:t>
      </w:r>
      <w:r>
        <w:rPr>
          <w:rFonts w:hint="eastAsia" w:ascii="宋体" w:hAnsi="宋体" w:eastAsia="宋体" w:cs="Calibri"/>
          <w:color w:val="000000"/>
          <w:kern w:val="0"/>
          <w:sz w:val="24"/>
          <w:szCs w:val="24"/>
        </w:rPr>
        <w:br w:type="page"/>
      </w:r>
    </w:p>
    <w:p>
      <w:pPr>
        <w:widowControl/>
        <w:adjustRightInd w:val="0"/>
        <w:snapToGrid w:val="0"/>
        <w:spacing w:line="360" w:lineRule="auto"/>
        <w:ind w:left="-420" w:leftChars="-200" w:right="-275" w:rightChars="-131"/>
        <w:jc w:val="center"/>
        <w:rPr>
          <w:rFonts w:ascii="宋体" w:hAnsi="宋体" w:eastAsia="微软雅黑" w:cs="仿宋_GB2312"/>
          <w:b/>
          <w:bCs/>
          <w:color w:val="000000"/>
          <w:kern w:val="0"/>
          <w:sz w:val="32"/>
          <w:szCs w:val="32"/>
        </w:rPr>
      </w:pPr>
      <w:r>
        <w:rPr>
          <w:rFonts w:hint="eastAsia" w:ascii="宋体" w:hAnsi="宋体" w:eastAsia="微软雅黑" w:cs="仿宋_GB2312"/>
          <w:b/>
          <w:bCs/>
          <w:color w:val="000000"/>
          <w:kern w:val="0"/>
          <w:sz w:val="32"/>
          <w:szCs w:val="32"/>
          <w:lang w:eastAsia="zh-CN"/>
        </w:rPr>
        <w:t>四川省职业</w:t>
      </w:r>
      <w:r>
        <w:rPr>
          <w:rFonts w:hint="eastAsia" w:ascii="宋体" w:hAnsi="宋体" w:eastAsia="微软雅黑" w:cs="仿宋_GB2312"/>
          <w:b/>
          <w:bCs/>
          <w:color w:val="000000"/>
          <w:kern w:val="0"/>
          <w:sz w:val="32"/>
          <w:szCs w:val="32"/>
        </w:rPr>
        <w:t>院校检验检疫技术技能竞赛</w:t>
      </w:r>
    </w:p>
    <w:p>
      <w:pPr>
        <w:widowControl/>
        <w:adjustRightInd w:val="0"/>
        <w:snapToGrid w:val="0"/>
        <w:spacing w:line="360" w:lineRule="auto"/>
        <w:ind w:left="-420" w:leftChars="-200" w:right="-275" w:rightChars="-131"/>
        <w:jc w:val="center"/>
        <w:rPr>
          <w:rFonts w:ascii="宋体" w:hAnsi="宋体" w:eastAsia="微软雅黑" w:cs="仿宋_GB2312"/>
          <w:b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微软雅黑" w:cs="仿宋_GB2312"/>
          <w:b/>
          <w:bCs/>
          <w:color w:val="000000"/>
          <w:kern w:val="0"/>
          <w:sz w:val="24"/>
          <w:szCs w:val="24"/>
        </w:rPr>
        <w:t>微生物学检验-革兰染色和细菌（四区）分区划线答题卷（高职组</w:t>
      </w:r>
      <w:bookmarkStart w:id="1" w:name="_GoBack"/>
      <w:bookmarkEnd w:id="1"/>
      <w:r>
        <w:rPr>
          <w:rFonts w:hint="eastAsia" w:ascii="宋体" w:hAnsi="宋体" w:eastAsia="微软雅黑" w:cs="仿宋_GB2312"/>
          <w:b/>
          <w:bCs/>
          <w:color w:val="000000"/>
          <w:kern w:val="0"/>
          <w:sz w:val="24"/>
          <w:szCs w:val="24"/>
        </w:rPr>
        <w:t>）</w:t>
      </w:r>
    </w:p>
    <w:p>
      <w:pPr>
        <w:widowControl/>
        <w:adjustRightInd w:val="0"/>
        <w:snapToGrid w:val="0"/>
        <w:spacing w:after="200" w:line="360" w:lineRule="exact"/>
        <w:jc w:val="left"/>
        <w:rPr>
          <w:rFonts w:ascii="宋体" w:hAnsi="宋体" w:eastAsia="微软雅黑" w:cs="Times New Roman"/>
          <w:b/>
          <w:bCs/>
          <w:color w:val="000000"/>
          <w:kern w:val="0"/>
          <w:sz w:val="24"/>
          <w:szCs w:val="24"/>
        </w:rPr>
      </w:pPr>
      <w:bookmarkStart w:id="0" w:name="_Hlk132396398"/>
      <w:r>
        <w:rPr>
          <w:rFonts w:hint="eastAsia" w:ascii="宋体" w:hAnsi="宋体" w:eastAsia="微软雅黑" w:cs="Times New Roman"/>
          <w:b/>
          <w:bCs/>
          <w:color w:val="000000"/>
          <w:kern w:val="0"/>
          <w:sz w:val="24"/>
          <w:szCs w:val="24"/>
        </w:rPr>
        <w:t>一、</w:t>
      </w:r>
      <w:bookmarkEnd w:id="0"/>
      <w:r>
        <w:rPr>
          <w:rFonts w:hint="eastAsia" w:ascii="宋体" w:hAnsi="宋体" w:eastAsia="微软雅黑" w:cs="Times New Roman"/>
          <w:b/>
          <w:bCs/>
          <w:color w:val="000000"/>
          <w:kern w:val="0"/>
          <w:sz w:val="24"/>
          <w:szCs w:val="24"/>
        </w:rPr>
        <w:t>革兰染色结果</w:t>
      </w:r>
    </w:p>
    <w:p>
      <w:pPr>
        <w:tabs>
          <w:tab w:val="left" w:pos="360"/>
        </w:tabs>
        <w:spacing w:line="340" w:lineRule="exact"/>
        <w:jc w:val="left"/>
        <w:rPr>
          <w:rFonts w:ascii="宋体" w:hAnsi="宋体" w:eastAsia="宋体" w:cs="仿宋"/>
          <w:color w:val="000000"/>
          <w:sz w:val="24"/>
          <w:szCs w:val="24"/>
        </w:rPr>
      </w:pPr>
      <w:r>
        <w:rPr>
          <w:rFonts w:hint="eastAsia" w:ascii="宋体" w:hAnsi="宋体" w:eastAsia="宋体" w:cs="仿宋"/>
          <w:color w:val="000000"/>
          <w:sz w:val="24"/>
          <w:szCs w:val="24"/>
        </w:rPr>
        <w:t xml:space="preserve"> 1</w:t>
      </w:r>
      <w:r>
        <w:rPr>
          <w:rFonts w:ascii="宋体" w:hAnsi="宋体" w:eastAsia="宋体" w:cs="仿宋"/>
          <w:color w:val="000000"/>
          <w:sz w:val="24"/>
          <w:szCs w:val="24"/>
        </w:rPr>
        <w:t>.</w:t>
      </w:r>
      <w:r>
        <w:rPr>
          <w:rFonts w:hint="eastAsia" w:ascii="宋体" w:hAnsi="宋体" w:eastAsia="宋体" w:cs="仿宋"/>
          <w:color w:val="000000"/>
          <w:sz w:val="24"/>
          <w:szCs w:val="24"/>
        </w:rPr>
        <w:t xml:space="preserve">绘出镜下形态 </w:t>
      </w:r>
    </w:p>
    <w:p>
      <w:pPr>
        <w:spacing w:after="120"/>
        <w:rPr>
          <w:rFonts w:ascii="宋体" w:hAnsi="宋体" w:eastAsia="宋体" w:cs="Times New Roman"/>
          <w:sz w:val="24"/>
          <w:szCs w:val="24"/>
        </w:rPr>
      </w:pPr>
    </w:p>
    <w:p>
      <w:pPr>
        <w:tabs>
          <w:tab w:val="left" w:pos="360"/>
        </w:tabs>
        <w:spacing w:line="340" w:lineRule="exact"/>
        <w:jc w:val="left"/>
        <w:rPr>
          <w:rFonts w:ascii="宋体" w:hAnsi="宋体" w:eastAsia="宋体" w:cs="仿宋"/>
          <w:color w:val="000000"/>
          <w:sz w:val="24"/>
          <w:szCs w:val="24"/>
        </w:rPr>
      </w:pPr>
      <w:r>
        <w:rPr>
          <w:rFonts w:ascii="宋体" w:hAnsi="宋体" w:eastAsia="宋体" w:cs="仿宋"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1530350</wp:posOffset>
                </wp:positionH>
                <wp:positionV relativeFrom="paragraph">
                  <wp:posOffset>3175</wp:posOffset>
                </wp:positionV>
                <wp:extent cx="1504315" cy="1355090"/>
                <wp:effectExtent l="0" t="0" r="19685" b="16510"/>
                <wp:wrapNone/>
                <wp:docPr id="3" name="椭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315" cy="135509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20.5pt;margin-top:0.25pt;height:106.7pt;width:118.45pt;z-index:251659264;mso-width-relative:page;mso-height-relative:page;" fillcolor="#FFFFFF" filled="t" stroked="t" coordsize="21600,21600" o:gfxdata="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BGmD5K2AAAAAgBAAAPAAAAAAAAAAEAIAAAACIAAABkcnMvZG93&#10;bnJldi54bWxQSwECFAAUAAAACACHTuJAZhorIQACAAAjBAAADgAAAAAAAAABACAAAAAnAQAAZHJz&#10;L2Uyb0RvYy54bWxQSwUGAAAAAAYABgBZAQAAmQUAAAAA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</w:p>
    <w:p>
      <w:pPr>
        <w:tabs>
          <w:tab w:val="left" w:pos="360"/>
        </w:tabs>
        <w:spacing w:line="340" w:lineRule="exact"/>
        <w:jc w:val="left"/>
        <w:rPr>
          <w:rFonts w:ascii="宋体" w:hAnsi="宋体" w:eastAsia="宋体" w:cs="仿宋"/>
          <w:color w:val="000000"/>
          <w:sz w:val="24"/>
          <w:szCs w:val="24"/>
        </w:rPr>
      </w:pPr>
    </w:p>
    <w:p>
      <w:pPr>
        <w:tabs>
          <w:tab w:val="left" w:pos="360"/>
        </w:tabs>
        <w:spacing w:line="340" w:lineRule="exact"/>
        <w:jc w:val="left"/>
        <w:rPr>
          <w:rFonts w:ascii="宋体" w:hAnsi="宋体" w:eastAsia="宋体" w:cs="仿宋"/>
          <w:color w:val="000000"/>
          <w:sz w:val="24"/>
          <w:szCs w:val="24"/>
        </w:rPr>
      </w:pPr>
    </w:p>
    <w:p>
      <w:pPr>
        <w:tabs>
          <w:tab w:val="left" w:pos="360"/>
        </w:tabs>
        <w:spacing w:line="340" w:lineRule="exact"/>
        <w:jc w:val="left"/>
        <w:rPr>
          <w:rFonts w:ascii="宋体" w:hAnsi="宋体" w:eastAsia="宋体" w:cs="仿宋"/>
          <w:color w:val="000000"/>
          <w:sz w:val="24"/>
          <w:szCs w:val="24"/>
        </w:rPr>
      </w:pPr>
    </w:p>
    <w:p>
      <w:pPr>
        <w:tabs>
          <w:tab w:val="left" w:pos="360"/>
        </w:tabs>
        <w:spacing w:line="340" w:lineRule="exact"/>
        <w:jc w:val="left"/>
        <w:rPr>
          <w:rFonts w:ascii="宋体" w:hAnsi="宋体" w:eastAsia="宋体" w:cs="仿宋"/>
          <w:color w:val="000000"/>
          <w:sz w:val="24"/>
          <w:szCs w:val="24"/>
        </w:rPr>
      </w:pPr>
    </w:p>
    <w:p>
      <w:pPr>
        <w:tabs>
          <w:tab w:val="left" w:pos="360"/>
        </w:tabs>
        <w:spacing w:line="340" w:lineRule="exact"/>
        <w:jc w:val="left"/>
        <w:rPr>
          <w:rFonts w:ascii="宋体" w:hAnsi="宋体" w:eastAsia="宋体" w:cs="仿宋"/>
          <w:color w:val="000000"/>
          <w:sz w:val="24"/>
          <w:szCs w:val="24"/>
        </w:rPr>
      </w:pPr>
    </w:p>
    <w:p>
      <w:pPr>
        <w:tabs>
          <w:tab w:val="left" w:pos="360"/>
        </w:tabs>
        <w:spacing w:line="340" w:lineRule="exact"/>
        <w:jc w:val="left"/>
        <w:rPr>
          <w:rFonts w:ascii="宋体" w:hAnsi="宋体" w:eastAsia="宋体" w:cs="仿宋"/>
          <w:color w:val="000000"/>
          <w:sz w:val="24"/>
          <w:szCs w:val="24"/>
        </w:rPr>
      </w:pPr>
    </w:p>
    <w:p>
      <w:pPr>
        <w:tabs>
          <w:tab w:val="left" w:pos="360"/>
        </w:tabs>
        <w:spacing w:line="340" w:lineRule="exact"/>
        <w:jc w:val="left"/>
        <w:rPr>
          <w:rFonts w:ascii="宋体" w:hAnsi="宋体" w:eastAsia="宋体" w:cs="仿宋"/>
          <w:color w:val="000000"/>
          <w:sz w:val="24"/>
          <w:szCs w:val="24"/>
        </w:rPr>
      </w:pPr>
      <w:r>
        <w:rPr>
          <w:rFonts w:hint="eastAsia" w:ascii="宋体" w:hAnsi="宋体" w:eastAsia="宋体" w:cs="仿宋"/>
          <w:color w:val="000000"/>
          <w:sz w:val="24"/>
          <w:szCs w:val="24"/>
        </w:rPr>
        <w:t>2．镜下结果描述</w:t>
      </w:r>
    </w:p>
    <w:p>
      <w:pPr>
        <w:tabs>
          <w:tab w:val="left" w:pos="360"/>
        </w:tabs>
        <w:spacing w:line="340" w:lineRule="exact"/>
        <w:jc w:val="left"/>
        <w:rPr>
          <w:rFonts w:ascii="宋体" w:hAnsi="宋体" w:eastAsia="宋体" w:cs="仿宋"/>
          <w:color w:val="000000"/>
          <w:sz w:val="24"/>
          <w:szCs w:val="24"/>
        </w:rPr>
      </w:pPr>
    </w:p>
    <w:tbl>
      <w:tblPr>
        <w:tblStyle w:val="4"/>
        <w:tblW w:w="0" w:type="auto"/>
        <w:tblInd w:w="13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79"/>
        <w:gridCol w:w="2366"/>
        <w:gridCol w:w="23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2579" w:type="dxa"/>
            <w:noWrap/>
            <w:vAlign w:val="center"/>
          </w:tcPr>
          <w:p>
            <w:pPr>
              <w:tabs>
                <w:tab w:val="left" w:pos="360"/>
              </w:tabs>
              <w:spacing w:line="340" w:lineRule="exact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</w:p>
        </w:tc>
        <w:tc>
          <w:tcPr>
            <w:tcW w:w="2366" w:type="dxa"/>
            <w:noWrap/>
          </w:tcPr>
          <w:p>
            <w:pPr>
              <w:tabs>
                <w:tab w:val="left" w:pos="360"/>
              </w:tabs>
              <w:spacing w:before="156" w:beforeLines="50" w:line="340" w:lineRule="exact"/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参赛选手填写</w:t>
            </w:r>
          </w:p>
        </w:tc>
        <w:tc>
          <w:tcPr>
            <w:tcW w:w="2365" w:type="dxa"/>
            <w:noWrap/>
          </w:tcPr>
          <w:p>
            <w:pPr>
              <w:tabs>
                <w:tab w:val="left" w:pos="360"/>
              </w:tabs>
              <w:spacing w:before="156" w:beforeLines="50" w:line="340" w:lineRule="exact"/>
              <w:ind w:firstLine="360" w:firstLineChars="150"/>
              <w:jc w:val="left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复核裁判填写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2579" w:type="dxa"/>
            <w:noWrap/>
            <w:vAlign w:val="center"/>
          </w:tcPr>
          <w:p>
            <w:pPr>
              <w:tabs>
                <w:tab w:val="left" w:pos="360"/>
              </w:tabs>
              <w:spacing w:line="340" w:lineRule="exact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菌体颜色</w:t>
            </w:r>
          </w:p>
        </w:tc>
        <w:tc>
          <w:tcPr>
            <w:tcW w:w="2366" w:type="dxa"/>
            <w:noWrap/>
          </w:tcPr>
          <w:p>
            <w:pPr>
              <w:tabs>
                <w:tab w:val="left" w:pos="360"/>
              </w:tabs>
              <w:spacing w:line="340" w:lineRule="exact"/>
              <w:jc w:val="left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</w:p>
        </w:tc>
        <w:tc>
          <w:tcPr>
            <w:tcW w:w="2365" w:type="dxa"/>
            <w:noWrap/>
          </w:tcPr>
          <w:p>
            <w:pPr>
              <w:tabs>
                <w:tab w:val="left" w:pos="360"/>
              </w:tabs>
              <w:spacing w:line="340" w:lineRule="exact"/>
              <w:jc w:val="left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2579" w:type="dxa"/>
            <w:noWrap/>
            <w:vAlign w:val="center"/>
          </w:tcPr>
          <w:p>
            <w:pPr>
              <w:tabs>
                <w:tab w:val="left" w:pos="360"/>
              </w:tabs>
              <w:spacing w:line="340" w:lineRule="exact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菌体形态</w:t>
            </w:r>
          </w:p>
        </w:tc>
        <w:tc>
          <w:tcPr>
            <w:tcW w:w="2366" w:type="dxa"/>
            <w:noWrap/>
          </w:tcPr>
          <w:p>
            <w:pPr>
              <w:tabs>
                <w:tab w:val="left" w:pos="360"/>
              </w:tabs>
              <w:spacing w:line="340" w:lineRule="exact"/>
              <w:jc w:val="left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</w:p>
        </w:tc>
        <w:tc>
          <w:tcPr>
            <w:tcW w:w="2365" w:type="dxa"/>
            <w:noWrap/>
          </w:tcPr>
          <w:p>
            <w:pPr>
              <w:tabs>
                <w:tab w:val="left" w:pos="360"/>
              </w:tabs>
              <w:spacing w:line="340" w:lineRule="exact"/>
              <w:jc w:val="left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2579" w:type="dxa"/>
            <w:noWrap/>
            <w:vAlign w:val="center"/>
          </w:tcPr>
          <w:p>
            <w:pPr>
              <w:tabs>
                <w:tab w:val="left" w:pos="360"/>
              </w:tabs>
              <w:spacing w:line="340" w:lineRule="exact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染色性</w:t>
            </w:r>
          </w:p>
        </w:tc>
        <w:tc>
          <w:tcPr>
            <w:tcW w:w="2366" w:type="dxa"/>
            <w:noWrap/>
          </w:tcPr>
          <w:p>
            <w:pPr>
              <w:tabs>
                <w:tab w:val="left" w:pos="360"/>
              </w:tabs>
              <w:spacing w:line="340" w:lineRule="exact"/>
              <w:jc w:val="left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</w:p>
        </w:tc>
        <w:tc>
          <w:tcPr>
            <w:tcW w:w="2365" w:type="dxa"/>
            <w:noWrap/>
          </w:tcPr>
          <w:p>
            <w:pPr>
              <w:tabs>
                <w:tab w:val="left" w:pos="360"/>
              </w:tabs>
              <w:spacing w:line="340" w:lineRule="exact"/>
              <w:jc w:val="left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2579" w:type="dxa"/>
            <w:noWrap/>
            <w:vAlign w:val="center"/>
          </w:tcPr>
          <w:p>
            <w:pPr>
              <w:tabs>
                <w:tab w:val="left" w:pos="360"/>
              </w:tabs>
              <w:spacing w:line="340" w:lineRule="exact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染色色彩是否清晰</w:t>
            </w:r>
          </w:p>
        </w:tc>
        <w:tc>
          <w:tcPr>
            <w:tcW w:w="2366" w:type="dxa"/>
            <w:noWrap/>
          </w:tcPr>
          <w:p>
            <w:pPr>
              <w:tabs>
                <w:tab w:val="left" w:pos="360"/>
              </w:tabs>
              <w:spacing w:line="340" w:lineRule="exact"/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仿宋"/>
                <w:color w:val="000000"/>
                <w:sz w:val="24"/>
                <w:szCs w:val="24"/>
              </w:rPr>
              <w:t>选手不填</w:t>
            </w:r>
          </w:p>
        </w:tc>
        <w:tc>
          <w:tcPr>
            <w:tcW w:w="2365" w:type="dxa"/>
            <w:noWrap/>
          </w:tcPr>
          <w:p>
            <w:pPr>
              <w:tabs>
                <w:tab w:val="left" w:pos="360"/>
              </w:tabs>
              <w:spacing w:line="340" w:lineRule="exact"/>
              <w:jc w:val="left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</w:p>
        </w:tc>
      </w:tr>
    </w:tbl>
    <w:p>
      <w:pPr>
        <w:tabs>
          <w:tab w:val="left" w:pos="360"/>
        </w:tabs>
        <w:spacing w:line="340" w:lineRule="exact"/>
        <w:jc w:val="left"/>
        <w:rPr>
          <w:rFonts w:ascii="宋体" w:hAnsi="宋体" w:eastAsia="宋体" w:cs="仿宋"/>
          <w:color w:val="000000"/>
          <w:sz w:val="24"/>
          <w:szCs w:val="24"/>
        </w:rPr>
      </w:pPr>
    </w:p>
    <w:p>
      <w:pPr>
        <w:tabs>
          <w:tab w:val="left" w:pos="360"/>
        </w:tabs>
        <w:spacing w:line="340" w:lineRule="exact"/>
        <w:jc w:val="left"/>
        <w:outlineLvl w:val="0"/>
        <w:rPr>
          <w:rFonts w:ascii="宋体" w:hAnsi="宋体" w:eastAsia="宋体" w:cs="仿宋"/>
          <w:color w:val="000000"/>
          <w:sz w:val="24"/>
          <w:szCs w:val="24"/>
        </w:rPr>
      </w:pPr>
      <w:r>
        <w:rPr>
          <w:rFonts w:hint="eastAsia" w:ascii="宋体" w:hAnsi="宋体" w:eastAsia="宋体" w:cs="仿宋"/>
          <w:color w:val="000000"/>
          <w:sz w:val="24"/>
          <w:szCs w:val="24"/>
        </w:rPr>
        <w:t>3</w:t>
      </w:r>
      <w:r>
        <w:rPr>
          <w:rFonts w:ascii="宋体" w:hAnsi="宋体" w:eastAsia="宋体" w:cs="仿宋"/>
          <w:color w:val="000000"/>
          <w:sz w:val="24"/>
          <w:szCs w:val="24"/>
        </w:rPr>
        <w:t>.</w:t>
      </w:r>
      <w:r>
        <w:rPr>
          <w:rFonts w:hint="eastAsia" w:ascii="宋体" w:hAnsi="宋体" w:eastAsia="宋体" w:cs="仿宋"/>
          <w:color w:val="000000"/>
          <w:sz w:val="24"/>
          <w:szCs w:val="24"/>
        </w:rPr>
        <w:t>初步报告</w:t>
      </w:r>
    </w:p>
    <w:p>
      <w:pPr>
        <w:spacing w:line="400" w:lineRule="exact"/>
        <w:ind w:firstLine="480" w:firstLineChars="200"/>
        <w:rPr>
          <w:rFonts w:ascii="宋体" w:hAnsi="宋体" w:eastAsia="宋体" w:cs="仿宋"/>
          <w:sz w:val="24"/>
          <w:szCs w:val="24"/>
        </w:rPr>
      </w:pPr>
      <w:r>
        <w:rPr>
          <w:rFonts w:hint="eastAsia" w:ascii="宋体" w:hAnsi="宋体" w:eastAsia="宋体" w:cs="仿宋"/>
          <w:sz w:val="24"/>
          <w:szCs w:val="24"/>
        </w:rPr>
        <w:t>（如：找到革兰阳性球（杆）菌或找到革兰阴性杆菌）</w:t>
      </w:r>
    </w:p>
    <w:p>
      <w:pPr>
        <w:tabs>
          <w:tab w:val="left" w:pos="360"/>
        </w:tabs>
        <w:spacing w:line="340" w:lineRule="exact"/>
        <w:ind w:firstLine="480" w:firstLineChars="200"/>
        <w:jc w:val="left"/>
        <w:outlineLvl w:val="0"/>
        <w:rPr>
          <w:rFonts w:ascii="宋体" w:hAnsi="宋体" w:eastAsia="宋体" w:cs="仿宋"/>
          <w:color w:val="000000"/>
          <w:sz w:val="24"/>
          <w:szCs w:val="24"/>
        </w:rPr>
      </w:pPr>
    </w:p>
    <w:p>
      <w:pPr>
        <w:spacing w:after="120"/>
        <w:rPr>
          <w:rFonts w:ascii="宋体" w:hAnsi="宋体" w:eastAsia="宋体" w:cs="Times New Roman"/>
          <w:sz w:val="24"/>
          <w:szCs w:val="24"/>
        </w:rPr>
      </w:pPr>
    </w:p>
    <w:p>
      <w:pPr>
        <w:spacing w:after="120"/>
        <w:rPr>
          <w:rFonts w:ascii="宋体" w:hAnsi="宋体" w:eastAsia="宋体" w:cs="Times New Roman"/>
          <w:sz w:val="24"/>
          <w:szCs w:val="24"/>
        </w:rPr>
      </w:pPr>
    </w:p>
    <w:tbl>
      <w:tblPr>
        <w:tblStyle w:val="4"/>
        <w:tblpPr w:leftFromText="180" w:rightFromText="180" w:vertAnchor="text" w:horzAnchor="page" w:tblpX="7557" w:tblpY="25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3"/>
        <w:gridCol w:w="173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1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得    分</w:t>
            </w:r>
          </w:p>
        </w:tc>
        <w:tc>
          <w:tcPr>
            <w:tcW w:w="17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裁判签名</w:t>
            </w:r>
          </w:p>
        </w:tc>
        <w:tc>
          <w:tcPr>
            <w:tcW w:w="17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</w:p>
        </w:tc>
      </w:tr>
    </w:tbl>
    <w:p>
      <w:pPr>
        <w:tabs>
          <w:tab w:val="left" w:pos="360"/>
        </w:tabs>
        <w:spacing w:line="340" w:lineRule="exact"/>
        <w:ind w:firstLine="480" w:firstLineChars="200"/>
        <w:jc w:val="left"/>
        <w:outlineLvl w:val="0"/>
        <w:rPr>
          <w:rFonts w:ascii="宋体" w:hAnsi="宋体" w:eastAsia="宋体" w:cs="仿宋"/>
          <w:color w:val="000000"/>
          <w:sz w:val="24"/>
          <w:szCs w:val="24"/>
        </w:rPr>
      </w:pPr>
    </w:p>
    <w:p>
      <w:pPr>
        <w:tabs>
          <w:tab w:val="left" w:pos="360"/>
        </w:tabs>
        <w:spacing w:line="340" w:lineRule="exact"/>
        <w:jc w:val="left"/>
        <w:outlineLvl w:val="0"/>
        <w:rPr>
          <w:rFonts w:ascii="宋体" w:hAnsi="宋体" w:eastAsia="宋体" w:cs="仿宋"/>
          <w:color w:val="000000"/>
          <w:sz w:val="24"/>
          <w:szCs w:val="24"/>
        </w:rPr>
      </w:pPr>
    </w:p>
    <w:p>
      <w:pPr>
        <w:tabs>
          <w:tab w:val="left" w:pos="305"/>
          <w:tab w:val="left" w:pos="360"/>
        </w:tabs>
        <w:spacing w:line="340" w:lineRule="exact"/>
        <w:jc w:val="left"/>
        <w:outlineLvl w:val="0"/>
        <w:rPr>
          <w:rFonts w:ascii="宋体" w:hAnsi="宋体" w:eastAsia="宋体" w:cs="仿宋"/>
          <w:color w:val="000000"/>
          <w:sz w:val="24"/>
          <w:szCs w:val="24"/>
        </w:rPr>
      </w:pPr>
    </w:p>
    <w:p>
      <w:pPr>
        <w:spacing w:after="120"/>
        <w:rPr>
          <w:rFonts w:ascii="宋体" w:hAnsi="宋体" w:eastAsia="宋体" w:cs="Times New Roman"/>
          <w:sz w:val="24"/>
          <w:szCs w:val="24"/>
        </w:rPr>
      </w:pPr>
    </w:p>
    <w:p>
      <w:pPr>
        <w:widowControl/>
        <w:adjustRightInd w:val="0"/>
        <w:snapToGrid w:val="0"/>
        <w:spacing w:after="200" w:line="360" w:lineRule="exact"/>
        <w:jc w:val="left"/>
        <w:rPr>
          <w:rFonts w:ascii="宋体" w:hAnsi="宋体" w:eastAsia="微软雅黑" w:cs="Times New Roman"/>
          <w:b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微软雅黑" w:cs="Times New Roman"/>
          <w:b/>
          <w:bCs/>
          <w:color w:val="000000"/>
          <w:kern w:val="0"/>
          <w:sz w:val="24"/>
          <w:szCs w:val="24"/>
        </w:rPr>
        <w:t>二、分区（四区）划线结果</w:t>
      </w:r>
    </w:p>
    <w:p>
      <w:pPr>
        <w:spacing w:after="120"/>
        <w:rPr>
          <w:rFonts w:ascii="Calibri" w:hAnsi="Calibri" w:eastAsia="宋体" w:cs="Times New Roman"/>
          <w:szCs w:val="24"/>
        </w:rPr>
      </w:pPr>
    </w:p>
    <w:tbl>
      <w:tblPr>
        <w:tblStyle w:val="4"/>
        <w:tblpPr w:leftFromText="180" w:rightFromText="180" w:vertAnchor="text" w:horzAnchor="page" w:tblpX="7557" w:tblpY="25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3"/>
        <w:gridCol w:w="173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1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得    分</w:t>
            </w:r>
          </w:p>
        </w:tc>
        <w:tc>
          <w:tcPr>
            <w:tcW w:w="17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裁判签名</w:t>
            </w:r>
          </w:p>
        </w:tc>
        <w:tc>
          <w:tcPr>
            <w:tcW w:w="17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ZjMGZkYThkYmQ2MzViNDEwY2Q0YzYxNmU5ODY5MzEifQ=="/>
  </w:docVars>
  <w:rsids>
    <w:rsidRoot w:val="00EA2031"/>
    <w:rsid w:val="002A1D31"/>
    <w:rsid w:val="002F5E1A"/>
    <w:rsid w:val="00376E36"/>
    <w:rsid w:val="004E2714"/>
    <w:rsid w:val="00596B02"/>
    <w:rsid w:val="006416BC"/>
    <w:rsid w:val="00714584"/>
    <w:rsid w:val="007660FB"/>
    <w:rsid w:val="007D6F36"/>
    <w:rsid w:val="00AB00D7"/>
    <w:rsid w:val="00B406DD"/>
    <w:rsid w:val="00C5541C"/>
    <w:rsid w:val="00CC5243"/>
    <w:rsid w:val="00CF4DB0"/>
    <w:rsid w:val="00D04AAB"/>
    <w:rsid w:val="00D84D9A"/>
    <w:rsid w:val="00EA2031"/>
    <w:rsid w:val="23B710B8"/>
    <w:rsid w:val="58431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299</Words>
  <Characters>1706</Characters>
  <Lines>14</Lines>
  <Paragraphs>4</Paragraphs>
  <TotalTime>25</TotalTime>
  <ScaleCrop>false</ScaleCrop>
  <LinksUpToDate>false</LinksUpToDate>
  <CharactersWithSpaces>2001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2023-04-14T12:05:00Z</dcterms:created>
  <dc:creator>`</dc:creator>
  <cp:lastModifiedBy>杨新春</cp:lastModifiedBy>
  <dcterms:modified xsi:type="dcterms:W3CDTF">2023-11-03T01:11:14Z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203ECF98AB0D4E2CBE5268C693B91DC4_12</vt:lpwstr>
  </property>
</Properties>
</file>