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AF889">
      <w:pPr>
        <w:pStyle w:val="15"/>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四川省职业院校技能大赛中职组装配式建筑构件安装赛项</w:t>
      </w:r>
    </w:p>
    <w:p w14:paraId="181D75CA">
      <w:pPr>
        <w:pStyle w:val="15"/>
        <w:jc w:val="center"/>
        <w:rPr>
          <w:rFonts w:cs="IDÑ˛"/>
          <w:kern w:val="0"/>
          <w:sz w:val="30"/>
          <w:szCs w:val="30"/>
        </w:rPr>
      </w:pPr>
      <w:r>
        <w:rPr>
          <w:rFonts w:hint="eastAsia" w:ascii="仿宋_GB2312" w:hAnsi="仿宋_GB2312" w:eastAsia="仿宋_GB2312" w:cs="仿宋_GB2312"/>
          <w:b/>
          <w:sz w:val="30"/>
          <w:szCs w:val="30"/>
        </w:rPr>
        <w:t>模块一理论知识竞赛试卷</w:t>
      </w:r>
    </w:p>
    <w:p w14:paraId="3D3C8DF1">
      <w:pPr>
        <w:pStyle w:val="15"/>
        <w:rPr>
          <w:rFonts w:cs="IDÑ˛"/>
          <w:kern w:val="0"/>
          <w:sz w:val="30"/>
          <w:szCs w:val="30"/>
        </w:rPr>
      </w:pPr>
    </w:p>
    <w:p w14:paraId="571E1BE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一、单项选择题 （共50题，每题1分，计50分）</w:t>
      </w:r>
    </w:p>
    <w:p w14:paraId="3922814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1.装配整体式混凝土剪力墙结构，（  ）剪力墙采用预制墙板构建成的装配整体式混凝土结构，简称装配整体式剪力墙结构。</w:t>
      </w:r>
    </w:p>
    <w:p w14:paraId="7BC7733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A.全部    </w:t>
      </w:r>
    </w:p>
    <w:p w14:paraId="2D9CC63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B.部分    </w:t>
      </w:r>
    </w:p>
    <w:p w14:paraId="726C60A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C.全部或部分    </w:t>
      </w:r>
    </w:p>
    <w:p w14:paraId="42C5B7F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D.整体</w:t>
      </w:r>
    </w:p>
    <w:p w14:paraId="363081E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DF3A98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  ）是各种装配式整体混凝土结构的重要接头形式。</w:t>
      </w:r>
    </w:p>
    <w:p w14:paraId="07BC2FA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A.钢筋套筒灌浆连接    </w:t>
      </w:r>
    </w:p>
    <w:p w14:paraId="597D2B1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B.焊接连接    </w:t>
      </w:r>
    </w:p>
    <w:p w14:paraId="31EB73F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C.机械连接     </w:t>
      </w:r>
    </w:p>
    <w:p w14:paraId="30CBA2D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D.绑扎连接</w:t>
      </w:r>
    </w:p>
    <w:p w14:paraId="0F32039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CC0A5A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3.根据15G107图集中规定，对编号为DBS1-67-3924-22的预制构件表述不正确的是（  ）</w:t>
      </w:r>
    </w:p>
    <w:p w14:paraId="559EC8E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A.表示叠合板构件             </w:t>
      </w:r>
    </w:p>
    <w:p w14:paraId="478F628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B.单向板</w:t>
      </w:r>
    </w:p>
    <w:p w14:paraId="62C47A0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C.预制板厚度为60mm，后浇叠合层厚度为70mm </w:t>
      </w:r>
    </w:p>
    <w:p w14:paraId="2689A72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D.预制底板的标志跨度为3900，标志宽度为2400</w:t>
      </w:r>
    </w:p>
    <w:p w14:paraId="09DF13E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E0B8BB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4.根据图集G310，图中的节点构造是（  ）</w:t>
      </w:r>
    </w:p>
    <w:p w14:paraId="2BFBBC8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37D5B9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drawing>
          <wp:anchor distT="0" distB="0" distL="114300" distR="114300" simplePos="0" relativeHeight="251663360" behindDoc="1" locked="0" layoutInCell="1" allowOverlap="1">
            <wp:simplePos x="0" y="0"/>
            <wp:positionH relativeFrom="column">
              <wp:posOffset>1904365</wp:posOffset>
            </wp:positionH>
            <wp:positionV relativeFrom="paragraph">
              <wp:posOffset>-180340</wp:posOffset>
            </wp:positionV>
            <wp:extent cx="2037715" cy="1246505"/>
            <wp:effectExtent l="0" t="0" r="635" b="10795"/>
            <wp:wrapTight wrapText="bothSides">
              <wp:wrapPolygon>
                <wp:start x="0" y="0"/>
                <wp:lineTo x="0" y="21127"/>
                <wp:lineTo x="21405" y="21127"/>
                <wp:lineTo x="21405" y="0"/>
                <wp:lineTo x="0" y="0"/>
              </wp:wrapPolygon>
            </wp:wrapTight>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4"/>
                    <a:stretch>
                      <a:fillRect/>
                    </a:stretch>
                  </pic:blipFill>
                  <pic:spPr>
                    <a:xfrm>
                      <a:off x="0" y="0"/>
                      <a:ext cx="2037715" cy="1246505"/>
                    </a:xfrm>
                    <a:prstGeom prst="rect">
                      <a:avLst/>
                    </a:prstGeom>
                    <a:noFill/>
                    <a:ln>
                      <a:noFill/>
                    </a:ln>
                  </pic:spPr>
                </pic:pic>
              </a:graphicData>
            </a:graphic>
          </wp:anchor>
        </w:drawing>
      </w:r>
      <w:r>
        <w:rPr>
          <w:rFonts w:hint="eastAsia" w:ascii="仿宋_GB2312" w:hAnsi="仿宋_GB2312" w:eastAsia="仿宋_GB2312" w:cs="仿宋_GB2312"/>
          <w:sz w:val="28"/>
          <w:szCs w:val="28"/>
        </w:rPr>
        <w:t xml:space="preserve">A.构造边缘端柱        </w:t>
      </w:r>
    </w:p>
    <w:p w14:paraId="2B2F9F0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B.构造边缘暗柱   </w:t>
      </w:r>
    </w:p>
    <w:p w14:paraId="5CF57E7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C.约束边缘翼墙      </w:t>
      </w:r>
    </w:p>
    <w:p w14:paraId="5101F67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D.构造边缘转角器</w:t>
      </w:r>
    </w:p>
    <w:p w14:paraId="535945D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2DA1B2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5、下列关于预制构件脱模验算受力分析，错误的是（  ）</w:t>
      </w:r>
    </w:p>
    <w:p w14:paraId="2451A32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A.等效静力荷载标准值是自重标准值</w:t>
      </w:r>
    </w:p>
    <w:p w14:paraId="6AEC06A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 等效静力荷载标准值不宜小于构件自重标准值的1.5倍</w:t>
      </w:r>
    </w:p>
    <w:p w14:paraId="7BC7EA1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C.动力系数不宜小于1.2</w:t>
      </w:r>
    </w:p>
    <w:p w14:paraId="3F6C61D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D.脱模吸附力不宜小于1.5KN/m2</w:t>
      </w:r>
    </w:p>
    <w:p w14:paraId="3BF1C40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4FA1B5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6、预制构件深化设计图不包括（  ）</w:t>
      </w:r>
    </w:p>
    <w:p w14:paraId="49F8519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A.预制构件模板图                </w:t>
      </w:r>
    </w:p>
    <w:p w14:paraId="565EFE6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B.预制构件墙板轮廓图</w:t>
      </w:r>
    </w:p>
    <w:p w14:paraId="1552622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C.预制构件配筋图               </w:t>
      </w:r>
    </w:p>
    <w:p w14:paraId="148C368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D.预制构件预留预埋图  </w:t>
      </w:r>
    </w:p>
    <w:p w14:paraId="6213BF8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AA6FDD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7.在国务院办公厅《关于大力发展装配式建筑的指导意见》中,“工作目标力争10年左右的时间，使装配式建筑占新建建筑面积的比例达到（ ）”。</w:t>
      </w:r>
    </w:p>
    <w:p w14:paraId="63645D7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A.20%     </w:t>
      </w:r>
    </w:p>
    <w:p w14:paraId="1C61B76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B.30%      </w:t>
      </w:r>
    </w:p>
    <w:p w14:paraId="6BC6C8B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C.40%      </w:t>
      </w:r>
    </w:p>
    <w:p w14:paraId="440EA81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D.50%</w:t>
      </w:r>
    </w:p>
    <w:p w14:paraId="01542AC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4FA617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8.以下哪一类拆分图不是预制构件必须独立绘制的（  ）</w:t>
      </w:r>
    </w:p>
    <w:p w14:paraId="647938F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A.构件模板图         </w:t>
      </w:r>
    </w:p>
    <w:p w14:paraId="198C40C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B.配筋图         </w:t>
      </w:r>
    </w:p>
    <w:p w14:paraId="349ED66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C.预留预埋件图    </w:t>
      </w:r>
    </w:p>
    <w:p w14:paraId="4C95319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D.三维视图</w:t>
      </w:r>
    </w:p>
    <w:p w14:paraId="129D7DA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9.预制构件生产前，应由建设单位组织（  ）单位进行设计文件交底和会审。A.设计；</w:t>
      </w:r>
    </w:p>
    <w:p w14:paraId="3EEB125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B.设计、生产；</w:t>
      </w:r>
    </w:p>
    <w:p w14:paraId="5B2A774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C.设计、生产、施工；</w:t>
      </w:r>
    </w:p>
    <w:p w14:paraId="072FC8E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D.设计、生产、施工、监理。</w:t>
      </w:r>
    </w:p>
    <w:p w14:paraId="4F3BDA8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63C44B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10．预制构件和部品经检查合格后，宜设置（ ）。预制构件和部品出厂时，应出具质量证明文件。</w:t>
      </w:r>
    </w:p>
    <w:p w14:paraId="1125E79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A.合格证</w:t>
      </w:r>
    </w:p>
    <w:p w14:paraId="763373E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B.工序标识</w:t>
      </w:r>
    </w:p>
    <w:p w14:paraId="2EF19CF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C.表面标识</w:t>
      </w:r>
    </w:p>
    <w:p w14:paraId="0620615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D.存放标识</w:t>
      </w:r>
    </w:p>
    <w:p w14:paraId="2344034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33D9F9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11.带面砖或石材饰面的预制构件宜采用（  ）工艺制作。</w:t>
      </w:r>
    </w:p>
    <w:p w14:paraId="6E21436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A.正打</w:t>
      </w:r>
    </w:p>
    <w:p w14:paraId="0D24439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B.反打</w:t>
      </w:r>
    </w:p>
    <w:p w14:paraId="434252B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C.正打一次成型</w:t>
      </w:r>
    </w:p>
    <w:p w14:paraId="626C4CA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D.反打一次成型</w:t>
      </w:r>
    </w:p>
    <w:p w14:paraId="6FC4E35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F52E13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997D09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12.吊装作业时，如遇到雨、雪、雾天气，或者风力大于（ ）级时，不得进行吊装作业。</w:t>
      </w:r>
    </w:p>
    <w:p w14:paraId="30299B8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A.4</w:t>
      </w:r>
    </w:p>
    <w:p w14:paraId="473F604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B.5</w:t>
      </w:r>
    </w:p>
    <w:p w14:paraId="655C86E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C.6</w:t>
      </w:r>
    </w:p>
    <w:p w14:paraId="29AF942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D.7</w:t>
      </w:r>
    </w:p>
    <w:p w14:paraId="4FD4306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A52BAA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13.装配式结构的后浇混凝土部位在浇筑前应进行（ ）验收。</w:t>
      </w:r>
    </w:p>
    <w:p w14:paraId="72CECE6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A.分部工程</w:t>
      </w:r>
    </w:p>
    <w:p w14:paraId="02D1922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B.分项工程</w:t>
      </w:r>
    </w:p>
    <w:p w14:paraId="3CDF926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C.检验批</w:t>
      </w:r>
    </w:p>
    <w:p w14:paraId="67FFEC1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D.隐蔽工程</w:t>
      </w:r>
    </w:p>
    <w:p w14:paraId="6010C5B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E7E8A8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 《装配式混凝土结构技术规程》JGJ 1-2014规定，预制构件堆放时，构件支垫应坚实，垫块在构件下的位置宜与脱模、吊装时起吊的位置（ ）。</w:t>
      </w:r>
    </w:p>
    <w:p w14:paraId="5796011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A.外移30cm</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30B590E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B.内移30cm</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4083A4F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C.一致</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155C451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D.以上说法均不对</w:t>
      </w:r>
    </w:p>
    <w:p w14:paraId="0FD24C8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1CECF7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 《装配式混凝土建筑技术标准》GB/T 51231预制楼板、叠合板、空调板、阳台板等构件应平放，叠放层数不宜超过（ ）层。</w:t>
      </w:r>
    </w:p>
    <w:p w14:paraId="45F96B0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A.4</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0C8B0BB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B.6</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4D4D12B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C.8</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20D4E3C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w:t>
      </w:r>
    </w:p>
    <w:p w14:paraId="2232501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F362D5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16.《装配式混凝土建筑技术标准》GB/T 51231等标准文件规定，预制构件吊装过程中，宜设置（ ）控制构件转动。</w:t>
      </w:r>
    </w:p>
    <w:p w14:paraId="5C76069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A.铁丝</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36E6F01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B.钢丝</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5494C4F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C.缆风绳</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6A56380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D.防滑鞋</w:t>
      </w:r>
    </w:p>
    <w:p w14:paraId="08B0A37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B7BB8C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17.《装配式混凝土结构技术规程》</w:t>
      </w:r>
      <w:r>
        <w:fldChar w:fldCharType="begin"/>
      </w:r>
      <w:r>
        <w:instrText xml:space="preserve"> HYPERLINK "http://www.zzguifan.com/webarbs/book/229/1232723.shtml" \t "_self" </w:instrText>
      </w:r>
      <w:r>
        <w:fldChar w:fldCharType="separate"/>
      </w:r>
      <w:r>
        <w:rPr>
          <w:rFonts w:hint="eastAsia" w:ascii="仿宋_GB2312" w:hAnsi="仿宋_GB2312" w:eastAsia="仿宋_GB2312" w:cs="仿宋_GB2312"/>
          <w:sz w:val="28"/>
          <w:szCs w:val="28"/>
        </w:rPr>
        <w:t>JGJ1-2014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规定：预制构件的混凝土强度等级不宜低于（ ）；预应力混凝土预制构件的混凝土强度等级不宜低于C40，且不应低于C30；现浇混凝土的强度等级不应低于C25。</w:t>
      </w:r>
    </w:p>
    <w:p w14:paraId="546DE05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A.C20</w:t>
      </w:r>
    </w:p>
    <w:p w14:paraId="1643A53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B.C25</w:t>
      </w:r>
    </w:p>
    <w:p w14:paraId="3C254F3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C.C30</w:t>
      </w:r>
    </w:p>
    <w:p w14:paraId="7E5D124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D.C40</w:t>
      </w:r>
    </w:p>
    <w:p w14:paraId="5393F09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D81717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18.纵向受拉钢筋绑扎搭接接头的搭接长度，应根据位于同一连接区段内的钢筋搭接接头面积百分率计算，且不应小于（ ）。</w:t>
      </w:r>
    </w:p>
    <w:p w14:paraId="19EA232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A.100mm</w:t>
      </w:r>
    </w:p>
    <w:p w14:paraId="4652F85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B.200mm</w:t>
      </w:r>
    </w:p>
    <w:p w14:paraId="780D05E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C.300mm</w:t>
      </w:r>
    </w:p>
    <w:p w14:paraId="26A85DE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D.400mm</w:t>
      </w:r>
    </w:p>
    <w:p w14:paraId="2426A7C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9FE6C3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19.当详图与被索引的图样不在同一张图纸内时，下列符号表达方式正确的是（ ）。</w:t>
      </w:r>
    </w:p>
    <w:p w14:paraId="308AFA7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drawing>
          <wp:inline distT="0" distB="0" distL="114300" distR="114300">
            <wp:extent cx="346710" cy="302260"/>
            <wp:effectExtent l="0" t="0" r="15240" b="2540"/>
            <wp:docPr id="6" name="图片 2" descr="C:\Users\ADMINI~1\AppData\Local\Temp\ksohtml13892\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C:\Users\ADMINI~1\AppData\Local\Temp\ksohtml13892\wps5.jpg"/>
                    <pic:cNvPicPr>
                      <a:picLocks noChangeAspect="1"/>
                    </pic:cNvPicPr>
                  </pic:nvPicPr>
                  <pic:blipFill>
                    <a:blip r:embed="rId5"/>
                    <a:stretch>
                      <a:fillRect/>
                    </a:stretch>
                  </pic:blipFill>
                  <pic:spPr>
                    <a:xfrm>
                      <a:off x="0" y="0"/>
                      <a:ext cx="346710" cy="302260"/>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B、</w:t>
      </w:r>
      <w:r>
        <w:rPr>
          <w:rFonts w:hint="eastAsia" w:ascii="仿宋_GB2312" w:hAnsi="仿宋_GB2312" w:eastAsia="仿宋_GB2312" w:cs="仿宋_GB2312"/>
          <w:sz w:val="28"/>
          <w:szCs w:val="28"/>
        </w:rPr>
        <w:drawing>
          <wp:inline distT="0" distB="0" distL="114300" distR="114300">
            <wp:extent cx="316865" cy="265430"/>
            <wp:effectExtent l="0" t="0" r="6985" b="1270"/>
            <wp:docPr id="3" name="图片 3" descr="C:\Users\ADMINI~1\AppData\Local\Temp\ksohtml1389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1\AppData\Local\Temp\ksohtml13892\wps6.jpg"/>
                    <pic:cNvPicPr>
                      <a:picLocks noChangeAspect="1"/>
                    </pic:cNvPicPr>
                  </pic:nvPicPr>
                  <pic:blipFill>
                    <a:blip r:embed="rId6"/>
                    <a:stretch>
                      <a:fillRect/>
                    </a:stretch>
                  </pic:blipFill>
                  <pic:spPr>
                    <a:xfrm>
                      <a:off x="0" y="0"/>
                      <a:ext cx="316865" cy="265430"/>
                    </a:xfrm>
                    <a:prstGeom prst="rect">
                      <a:avLst/>
                    </a:prstGeom>
                    <a:noFill/>
                    <a:ln>
                      <a:noFill/>
                    </a:ln>
                  </pic:spPr>
                </pic:pic>
              </a:graphicData>
            </a:graphic>
          </wp:inline>
        </w:drawing>
      </w:r>
    </w:p>
    <w:p w14:paraId="5EB7516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C、1-1              D、2/3</w:t>
      </w:r>
    </w:p>
    <w:p w14:paraId="39BB337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DB21B8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20.预制混凝土模具的底模宜采用整体材料制造，如需拼接，底模宽度小于2m时，焊缝不得多于（）条。</w:t>
      </w:r>
    </w:p>
    <w:p w14:paraId="14D78FF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w:t>
      </w:r>
    </w:p>
    <w:p w14:paraId="2CBBDDB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w:t>
      </w:r>
    </w:p>
    <w:p w14:paraId="3E35722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w:t>
      </w:r>
    </w:p>
    <w:p w14:paraId="2369E0C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w:t>
      </w:r>
    </w:p>
    <w:p w14:paraId="2FE0B6C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AD1395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21.普通硅酸盐水泥初凝不小于（），终凝不大于（）</w:t>
      </w:r>
    </w:p>
    <w:p w14:paraId="27910C1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A.50min; 300min</w:t>
      </w:r>
    </w:p>
    <w:p w14:paraId="028A315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B.45min; 390min</w:t>
      </w:r>
    </w:p>
    <w:p w14:paraId="0A92AB2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C.45min; 600min</w:t>
      </w:r>
    </w:p>
    <w:p w14:paraId="37BD7A0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D.50min;600min</w:t>
      </w:r>
    </w:p>
    <w:p w14:paraId="7AFFFEA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9D8671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22.预制构件生产所需钢筋等原材料，（ ）。</w:t>
      </w:r>
    </w:p>
    <w:p w14:paraId="0DF6C55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A.确定其合格后，方可使用</w:t>
      </w:r>
    </w:p>
    <w:p w14:paraId="4EFCEC4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B.不需要确定合格，直接使用</w:t>
      </w:r>
    </w:p>
    <w:p w14:paraId="5802161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C.不经试验检测，可直接使用</w:t>
      </w:r>
    </w:p>
    <w:p w14:paraId="6315910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D.是否合格，与我无关</w:t>
      </w:r>
    </w:p>
    <w:p w14:paraId="4D6A516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2C1A04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23.《装配式混凝土建筑技术标准》GB/T 51231-2016规定，预制墙板构件中预埋钢板与混凝土面层平面高差的允许偏差为（  ）mm。</w:t>
      </w:r>
    </w:p>
    <w:p w14:paraId="592F998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  0，3</w:t>
      </w:r>
    </w:p>
    <w:p w14:paraId="12222EB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 0，±3</w:t>
      </w:r>
    </w:p>
    <w:p w14:paraId="4467A67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 0，-3</w:t>
      </w:r>
    </w:p>
    <w:p w14:paraId="576AA1C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0，-5</w:t>
      </w:r>
    </w:p>
    <w:p w14:paraId="30CC90F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2E1B5A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24.《混凝土结构工程施工质量验收规范》GB 50204-2015规定，预制构件预留插筋外露长度允许偏差为（ ）mm。</w:t>
      </w:r>
    </w:p>
    <w:p w14:paraId="1803DAA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A.15</w:t>
      </w:r>
    </w:p>
    <w:p w14:paraId="66E74D7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B.-5</w:t>
      </w:r>
    </w:p>
    <w:p w14:paraId="5292EB0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C.+10，-5</w:t>
      </w:r>
    </w:p>
    <w:p w14:paraId="694F327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w:t>
      </w:r>
    </w:p>
    <w:p w14:paraId="1E5132D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C19246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25.预制构件混凝土浇筑完毕或压面工序完成后应及时（ ）脱模前不得揭开。</w:t>
      </w:r>
    </w:p>
    <w:p w14:paraId="5B95336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A.拆除模具</w:t>
      </w:r>
    </w:p>
    <w:p w14:paraId="05E260B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B.干燥通风</w:t>
      </w:r>
    </w:p>
    <w:p w14:paraId="58A54C4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C.覆盖保湿</w:t>
      </w:r>
    </w:p>
    <w:p w14:paraId="586D47E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D.洒水养护</w:t>
      </w:r>
    </w:p>
    <w:p w14:paraId="736BE3D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D0FE20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26.预制板、梁和桁架等简支构件，进行结构性能检验时，应一端采用（ ），另一端采用（ ）支承。</w:t>
      </w:r>
    </w:p>
    <w:p w14:paraId="355E1DC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A.固端支承  滚动</w:t>
      </w:r>
    </w:p>
    <w:p w14:paraId="76AA085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B.滚动支承  活动</w:t>
      </w:r>
    </w:p>
    <w:p w14:paraId="740F5E7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C.铰支承  滚动</w:t>
      </w:r>
    </w:p>
    <w:p w14:paraId="0CA7686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D.铰支承  固端</w:t>
      </w:r>
    </w:p>
    <w:p w14:paraId="0D5DE0D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5863C6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27.在预制混凝土剪力墙平面布置图中，内墙板的装配方向用（ ）表示。</w:t>
      </w:r>
    </w:p>
    <w:p w14:paraId="69C898D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mc:AlternateContent>
          <mc:Choice Requires="wps">
            <w:drawing>
              <wp:anchor distT="0" distB="0" distL="114300" distR="114300" simplePos="0" relativeHeight="251659264" behindDoc="0" locked="0" layoutInCell="1" allowOverlap="1">
                <wp:simplePos x="0" y="0"/>
                <wp:positionH relativeFrom="column">
                  <wp:posOffset>330835</wp:posOffset>
                </wp:positionH>
                <wp:positionV relativeFrom="paragraph">
                  <wp:posOffset>27940</wp:posOffset>
                </wp:positionV>
                <wp:extent cx="133350" cy="152400"/>
                <wp:effectExtent l="9525" t="15875" r="28575" b="22225"/>
                <wp:wrapNone/>
                <wp:docPr id="277" name="等腰三角形 277"/>
                <wp:cNvGraphicFramePr/>
                <a:graphic xmlns:a="http://schemas.openxmlformats.org/drawingml/2006/main">
                  <a:graphicData uri="http://schemas.microsoft.com/office/word/2010/wordprocessingShape">
                    <wps:wsp>
                      <wps:cNvSpPr/>
                      <wps:spPr>
                        <a:xfrm>
                          <a:off x="0" y="0"/>
                          <a:ext cx="133350" cy="152400"/>
                        </a:xfrm>
                        <a:prstGeom prst="triangle">
                          <a:avLst/>
                        </a:prstGeom>
                        <a:solidFill>
                          <a:srgbClr val="7F7F7F">
                            <a:lumMod val="50000"/>
                          </a:srgbClr>
                        </a:solidFill>
                        <a:ln w="12700" cap="flat" cmpd="sng" algn="ctr">
                          <a:solidFill>
                            <a:srgbClr val="000000"/>
                          </a:solidFill>
                          <a:prstDash val="solid"/>
                          <a:miter lim="800000"/>
                        </a:ln>
                        <a:effectLst/>
                      </wps:spPr>
                      <wps:txbx>
                        <w:txbxContent>
                          <w:p w14:paraId="52E8178D">
                            <w:pPr>
                              <w:ind w:firstLine="480"/>
                              <w:jc w:val="center"/>
                            </w:pPr>
                            <w:r>
                              <w:rPr>
                                <w:rFonts w:hint="eastAsia"/>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26.05pt;margin-top:2.2pt;height:12pt;width:10.5pt;z-index:251659264;v-text-anchor:middle;mso-width-relative:page;mso-height-relative:page;" fillcolor="#404040" filled="t" stroked="t" coordsize="21600,21600" o:gfxdata="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SFcAdNMAAAAGAQAADwAAAAAAAAABACAAAAAiAAAAZHJzL2Rvd25yZXYueG1sUEsBAhQA&#10;FAAAAAgAh07iQAFEQVmiAgAAPwUAAA4AAAAAAAAAAQAgAAAAIgEAAGRycy9lMm9Eb2MueG1sUEsF&#10;BgAAAAAGAAYAWQEAADYGAAAAAA==&#10;" adj="10800">
                <v:fill on="t" focussize="0,0"/>
                <v:stroke weight="1pt" color="#000000" miterlimit="8" joinstyle="miter"/>
                <v:imagedata o:title=""/>
                <o:lock v:ext="edit" aspectratio="f"/>
                <v:textbox>
                  <w:txbxContent>
                    <w:p w14:paraId="52E8178D">
                      <w:pPr>
                        <w:ind w:firstLine="480"/>
                        <w:jc w:val="center"/>
                      </w:pPr>
                      <w:r>
                        <w:rPr>
                          <w:rFonts w:hint="eastAsia"/>
                        </w:rPr>
                        <w:t xml:space="preserve">   </w:t>
                      </w:r>
                    </w:p>
                  </w:txbxContent>
                </v:textbox>
              </v:shape>
            </w:pict>
          </mc:Fallback>
        </mc:AlternateContent>
      </w:r>
      <w:r>
        <w:rPr>
          <w:rFonts w:hint="eastAsia" w:ascii="仿宋_GB2312" w:hAnsi="仿宋_GB2312" w:eastAsia="仿宋_GB2312" w:cs="仿宋_GB2312"/>
          <w:sz w:val="28"/>
          <w:szCs w:val="28"/>
        </w:rPr>
        <w:t xml:space="preserve">A.        </w:t>
      </w:r>
    </w:p>
    <w:p w14:paraId="4F9BF38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379730</wp:posOffset>
                </wp:positionH>
                <wp:positionV relativeFrom="paragraph">
                  <wp:posOffset>10160</wp:posOffset>
                </wp:positionV>
                <wp:extent cx="133350" cy="152400"/>
                <wp:effectExtent l="9525" t="15875" r="28575" b="22225"/>
                <wp:wrapNone/>
                <wp:docPr id="5" name="等腰三角形 5"/>
                <wp:cNvGraphicFramePr/>
                <a:graphic xmlns:a="http://schemas.openxmlformats.org/drawingml/2006/main">
                  <a:graphicData uri="http://schemas.microsoft.com/office/word/2010/wordprocessingShape">
                    <wps:wsp>
                      <wps:cNvSpPr/>
                      <wps:spPr>
                        <a:xfrm>
                          <a:off x="0" y="0"/>
                          <a:ext cx="133350" cy="152400"/>
                        </a:xfrm>
                        <a:prstGeom prst="triangle">
                          <a:avLst/>
                        </a:prstGeom>
                        <a:solidFill>
                          <a:srgbClr val="FFFFFF"/>
                        </a:solidFill>
                        <a:ln w="12700" cap="flat" cmpd="sng" algn="ctr">
                          <a:solidFill>
                            <a:srgbClr val="000000"/>
                          </a:solidFill>
                          <a:prstDash val="solid"/>
                          <a:miter lim="800000"/>
                        </a:ln>
                        <a:effectLst/>
                      </wps:spPr>
                      <wps:txbx>
                        <w:txbxContent>
                          <w:p w14:paraId="1CF26912">
                            <w:pPr>
                              <w:ind w:firstLine="480"/>
                              <w:jc w:val="center"/>
                              <w:rPr>
                                <w:color w:val="FFFFFF"/>
                              </w:rPr>
                            </w:pPr>
                            <w:r>
                              <w:rPr>
                                <w:rFonts w:hint="eastAsia"/>
                                <w:color w:val="FFFFFF"/>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29.9pt;margin-top:0.8pt;height:12pt;width:10.5pt;z-index:251660288;v-text-anchor:middle;mso-width-relative:page;mso-height-relative:page;" fillcolor="#FFFFFF" filled="t" stroked="t" coordsize="21600,21600" o:gfxdata="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bkRT8NUAAAAG&#10;AQAADwAAAAAAAAABACAAAAAiAAAAZHJzL2Rvd25yZXYueG1sUEsBAhQAFAAAAAgAh07iQGajbs2R&#10;AgAAGQUAAA4AAAAAAAAAAQAgAAAAJAEAAGRycy9lMm9Eb2MueG1sUEsFBgAAAAAGAAYAWQEAACcG&#10;AAAAAA==&#10;" adj="10800">
                <v:fill on="t" focussize="0,0"/>
                <v:stroke weight="1pt" color="#000000" miterlimit="8" joinstyle="miter"/>
                <v:imagedata o:title=""/>
                <o:lock v:ext="edit" aspectratio="f"/>
                <v:textbox>
                  <w:txbxContent>
                    <w:p w14:paraId="1CF26912">
                      <w:pPr>
                        <w:ind w:firstLine="480"/>
                        <w:jc w:val="center"/>
                        <w:rPr>
                          <w:color w:val="FFFFFF"/>
                        </w:rPr>
                      </w:pPr>
                      <w:r>
                        <w:rPr>
                          <w:rFonts w:hint="eastAsia"/>
                          <w:color w:val="FFFFFF"/>
                        </w:rPr>
                        <w:t xml:space="preserve">   </w:t>
                      </w:r>
                    </w:p>
                  </w:txbxContent>
                </v:textbox>
              </v:shape>
            </w:pict>
          </mc:Fallback>
        </mc:AlternateContent>
      </w:r>
      <w:r>
        <w:rPr>
          <w:rFonts w:hint="eastAsia" w:ascii="仿宋_GB2312" w:hAnsi="仿宋_GB2312" w:eastAsia="仿宋_GB2312" w:cs="仿宋_GB2312"/>
          <w:sz w:val="28"/>
          <w:szCs w:val="28"/>
        </w:rPr>
        <w:t xml:space="preserve">B.          </w:t>
      </w:r>
    </w:p>
    <w:p w14:paraId="2CDB4FB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mc:AlternateContent>
          <mc:Choice Requires="wps">
            <w:drawing>
              <wp:anchor distT="0" distB="0" distL="114300" distR="114300" simplePos="0" relativeHeight="251661312" behindDoc="0" locked="0" layoutInCell="1" allowOverlap="1">
                <wp:simplePos x="0" y="0"/>
                <wp:positionH relativeFrom="column">
                  <wp:posOffset>361950</wp:posOffset>
                </wp:positionH>
                <wp:positionV relativeFrom="paragraph">
                  <wp:posOffset>22860</wp:posOffset>
                </wp:positionV>
                <wp:extent cx="180975" cy="190500"/>
                <wp:effectExtent l="6350" t="15875" r="22225" b="22225"/>
                <wp:wrapNone/>
                <wp:docPr id="8" name="右箭头 8"/>
                <wp:cNvGraphicFramePr/>
                <a:graphic xmlns:a="http://schemas.openxmlformats.org/drawingml/2006/main">
                  <a:graphicData uri="http://schemas.microsoft.com/office/word/2010/wordprocessingShape">
                    <wps:wsp>
                      <wps:cNvSpPr/>
                      <wps:spPr>
                        <a:xfrm>
                          <a:off x="0" y="0"/>
                          <a:ext cx="180975" cy="190500"/>
                        </a:xfrm>
                        <a:prstGeom prst="rightArrow">
                          <a:avLst/>
                        </a:prstGeom>
                        <a:solidFill>
                          <a:srgbClr val="000000"/>
                        </a:solidFill>
                        <a:ln w="12700" cap="flat" cmpd="sng" algn="ctr">
                          <a:solidFill>
                            <a:srgbClr val="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8.5pt;margin-top:1.8pt;height:15pt;width:14.25pt;z-index:251661312;v-text-anchor:middle;mso-width-relative:page;mso-height-relative:page;" fillcolor="#000000" filled="t" stroked="t" coordsize="21600,21600" o:gfxdata="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Igg5XLVAAAABgEAAA8AAAAAAAAAAQAgAAAAIgAAAGRycy9k&#10;b3ducmV2LnhtbFBLAQIUABQAAAAIAIdO4kDCCT2tdwIAAAoFAAAOAAAAAAAAAAEAIAAAACQBAABk&#10;cnMvZTJvRG9jLnhtbFBLBQYAAAAABgAGAFkBAAANBgAAAAA=&#10;" adj="10800,5400">
                <v:fill on="t" focussize="0,0"/>
                <v:stroke weight="1pt" color="#000000" miterlimit="8" joinstyle="miter"/>
                <v:imagedata o:title=""/>
                <o:lock v:ext="edit" aspectratio="f"/>
              </v:shape>
            </w:pict>
          </mc:Fallback>
        </mc:AlternateContent>
      </w:r>
      <w:r>
        <w:rPr>
          <w:rFonts w:hint="eastAsia" w:ascii="仿宋_GB2312" w:hAnsi="仿宋_GB2312" w:eastAsia="仿宋_GB2312" w:cs="仿宋_GB2312"/>
          <w:sz w:val="28"/>
          <w:szCs w:val="28"/>
        </w:rPr>
        <w:t xml:space="preserve">C.          </w:t>
      </w:r>
    </w:p>
    <w:p w14:paraId="748D59F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mc:AlternateContent>
          <mc:Choice Requires="wps">
            <w:drawing>
              <wp:anchor distT="0" distB="0" distL="114300" distR="114300" simplePos="0" relativeHeight="251662336" behindDoc="0" locked="0" layoutInCell="1" allowOverlap="1">
                <wp:simplePos x="0" y="0"/>
                <wp:positionH relativeFrom="column">
                  <wp:posOffset>361950</wp:posOffset>
                </wp:positionH>
                <wp:positionV relativeFrom="paragraph">
                  <wp:posOffset>20955</wp:posOffset>
                </wp:positionV>
                <wp:extent cx="180975" cy="190500"/>
                <wp:effectExtent l="6350" t="15875" r="22225" b="22225"/>
                <wp:wrapNone/>
                <wp:docPr id="15" name="右箭头 15"/>
                <wp:cNvGraphicFramePr/>
                <a:graphic xmlns:a="http://schemas.openxmlformats.org/drawingml/2006/main">
                  <a:graphicData uri="http://schemas.microsoft.com/office/word/2010/wordprocessingShape">
                    <wps:wsp>
                      <wps:cNvSpPr/>
                      <wps:spPr>
                        <a:xfrm>
                          <a:off x="0" y="0"/>
                          <a:ext cx="180975" cy="190500"/>
                        </a:xfrm>
                        <a:prstGeom prst="rightArrow">
                          <a:avLst/>
                        </a:prstGeom>
                        <a:solidFill>
                          <a:srgbClr val="FFFFFF"/>
                        </a:solidFill>
                        <a:ln w="12700" cap="flat" cmpd="sng" algn="ctr">
                          <a:solidFill>
                            <a:srgbClr val="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8.5pt;margin-top:1.65pt;height:15pt;width:14.25pt;z-index:251662336;v-text-anchor:middle;mso-width-relative:page;mso-height-relative:page;" fillcolor="#FFFFFF" filled="t" stroked="t" coordsize="21600,21600" o:gfxdata="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uHlCv1QAAAAYBAAAPAAAAAAAAAAEAIAAAACIA&#10;AABkcnMvZG93bnJldi54bWxQSwECFAAUAAAACACHTuJA+qjGdH4CAAAMBQAADgAAAAAAAAABACAA&#10;AAAkAQAAZHJzL2Uyb0RvYy54bWxQSwUGAAAAAAYABgBZAQAAFAYAAAAA&#10;" adj="10800,5400">
                <v:fill on="t" focussize="0,0"/>
                <v:stroke weight="1pt" color="#000000" miterlimit="8" joinstyle="miter"/>
                <v:imagedata o:title=""/>
                <o:lock v:ext="edit" aspectratio="f"/>
              </v:shape>
            </w:pict>
          </mc:Fallback>
        </mc:AlternateContent>
      </w:r>
      <w:r>
        <w:rPr>
          <w:rFonts w:hint="eastAsia" w:ascii="仿宋_GB2312" w:hAnsi="仿宋_GB2312" w:eastAsia="仿宋_GB2312" w:cs="仿宋_GB2312"/>
          <w:sz w:val="28"/>
          <w:szCs w:val="28"/>
        </w:rPr>
        <w:t>D.</w:t>
      </w:r>
    </w:p>
    <w:p w14:paraId="6DC0838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D830AE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28.预制外墙的代号为（ ）。</w:t>
      </w:r>
    </w:p>
    <w:p w14:paraId="7745AAD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A.WQ       </w:t>
      </w:r>
    </w:p>
    <w:p w14:paraId="46B8B88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B.WQCA    </w:t>
      </w:r>
    </w:p>
    <w:p w14:paraId="378CD22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C.YWQ     </w:t>
      </w:r>
    </w:p>
    <w:p w14:paraId="3067600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D.YNQ </w:t>
      </w:r>
    </w:p>
    <w:p w14:paraId="08DC1DC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F6E187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29. 编号为NQM1-3028-0921的内墙板，其含义为（ ）。</w:t>
      </w:r>
    </w:p>
    <w:p w14:paraId="3DADF65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A.预制内墙板类型为固定门垛内墙，层高3000mm，标志宽度2800mm，门宽900mm，门高2100mm。</w:t>
      </w:r>
    </w:p>
    <w:p w14:paraId="55CFF80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B.预制内墙板类型为固定门垛内墙，标志宽度3000mm，层高2800mm，门宽900mm，门高2100mm。</w:t>
      </w:r>
    </w:p>
    <w:p w14:paraId="266A82D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C.预制内墙板类型为固定门垛内墙，标志宽度3000mm，层高2800mm，门高900mm，门宽2100mm。</w:t>
      </w:r>
    </w:p>
    <w:p w14:paraId="5F29BC8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D.预制内墙板类型为中间门洞内墙，标志宽度3000mm，层高2800mm，门宽900mm，门高2100mm。</w:t>
      </w:r>
    </w:p>
    <w:p w14:paraId="5F328C1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136252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30.图为预制叠合板正视和底视图，图中用红框内什么（ ）</w:t>
      </w:r>
    </w:p>
    <w:p w14:paraId="053C233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drawing>
          <wp:inline distT="0" distB="0" distL="114300" distR="114300">
            <wp:extent cx="2094230" cy="1865630"/>
            <wp:effectExtent l="0" t="0" r="1270" b="1270"/>
            <wp:docPr id="13" name="图片 4" descr="C:\Users\ADMINI~1\AppData\Local\Temp\ksohtml1389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ADMINI~1\AppData\Local\Temp\ksohtml13892\wps2.jpg"/>
                    <pic:cNvPicPr>
                      <a:picLocks noChangeAspect="1"/>
                    </pic:cNvPicPr>
                  </pic:nvPicPr>
                  <pic:blipFill>
                    <a:blip r:embed="rId7"/>
                    <a:stretch>
                      <a:fillRect/>
                    </a:stretch>
                  </pic:blipFill>
                  <pic:spPr>
                    <a:xfrm>
                      <a:off x="0" y="0"/>
                      <a:ext cx="2094230" cy="1865630"/>
                    </a:xfrm>
                    <a:prstGeom prst="rect">
                      <a:avLst/>
                    </a:prstGeom>
                    <a:noFill/>
                    <a:ln>
                      <a:noFill/>
                    </a:ln>
                  </pic:spPr>
                </pic:pic>
              </a:graphicData>
            </a:graphic>
          </wp:inline>
        </w:drawing>
      </w:r>
    </w:p>
    <w:p w14:paraId="6F20750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A、叠合板装饰线条   B、叠合板桁架筋</w:t>
      </w:r>
    </w:p>
    <w:p w14:paraId="4B35C11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C、叠合板中线管     D、叠合板吊点</w:t>
      </w:r>
    </w:p>
    <w:p w14:paraId="683E6B3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DA5377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31.剪力墙平面布置图中，预制构件的内表面用符号（ ）表示。 </w:t>
      </w:r>
    </w:p>
    <w:p w14:paraId="064C9E9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drawing>
          <wp:inline distT="0" distB="0" distL="114300" distR="114300">
            <wp:extent cx="165100" cy="152400"/>
            <wp:effectExtent l="0" t="0" r="635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8"/>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w:t>
      </w:r>
    </w:p>
    <w:p w14:paraId="446C53E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B.WS    </w:t>
      </w:r>
    </w:p>
    <w:p w14:paraId="0ADBB15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C.NS    </w:t>
      </w:r>
    </w:p>
    <w:p w14:paraId="292F2A1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D.MJ1</w:t>
      </w:r>
    </w:p>
    <w:p w14:paraId="116E021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45297A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32.编号为ST-28-25的楼梯，其含义为（ ）。</w:t>
      </w:r>
    </w:p>
    <w:p w14:paraId="2F919C9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A.预制混凝土板式双跑楼梯，建筑层高2800mm、楼梯间净宽2500mm。</w:t>
      </w:r>
    </w:p>
    <w:p w14:paraId="0031376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B.预制混凝土板式单跑楼梯，建筑层高2800mm、楼梯间净宽2500mm。</w:t>
      </w:r>
    </w:p>
    <w:p w14:paraId="7B274F7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C.预制混凝土板式双跑楼梯，建筑层高2500mm、楼梯间净宽2800mm。</w:t>
      </w:r>
    </w:p>
    <w:p w14:paraId="2E21964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D.预制混凝土板式剪刀楼梯，建筑层高2800mm、楼梯间净宽2500mm。</w:t>
      </w:r>
    </w:p>
    <w:p w14:paraId="598DF8A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68A067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33.根据标准图集《预制混凝土剪力墙外墙板》（15G365-1）中夹心墙板模板图中的主视图，可知墙板的相关尺寸，其中错误的是（ ）。 </w:t>
      </w:r>
    </w:p>
    <w:p w14:paraId="682732E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A.墙板长度  </w:t>
      </w:r>
    </w:p>
    <w:p w14:paraId="42D9F90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B.墙板高度  </w:t>
      </w:r>
    </w:p>
    <w:p w14:paraId="3F3270B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C.窗孔的长和高度  </w:t>
      </w:r>
    </w:p>
    <w:p w14:paraId="0D1AA55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D.墙板厚度</w:t>
      </w:r>
    </w:p>
    <w:p w14:paraId="5245254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1B3597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34. 窗框口模具安装时其中长度、宽度的允许偏差是（ ）。 </w:t>
      </w:r>
    </w:p>
    <w:p w14:paraId="187B700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A.0，-4     </w:t>
      </w:r>
    </w:p>
    <w:p w14:paraId="5284F7C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B.0，-3     </w:t>
      </w:r>
    </w:p>
    <w:p w14:paraId="5221B10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C.0，-2   </w:t>
      </w:r>
    </w:p>
    <w:p w14:paraId="71924F4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D.0，-2.5</w:t>
      </w:r>
    </w:p>
    <w:p w14:paraId="14F87E4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C10829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35.叠合楼板模具当选用角钢作为边模时，侧模上需设加强肋板，其间距长度为（ ）㎜。</w:t>
      </w:r>
    </w:p>
    <w:p w14:paraId="406FBCA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A.200～400   </w:t>
      </w:r>
    </w:p>
    <w:p w14:paraId="19A5BAB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B.300～500      </w:t>
      </w:r>
    </w:p>
    <w:p w14:paraId="05F9137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C.400～500    </w:t>
      </w:r>
    </w:p>
    <w:p w14:paraId="3F6B8D6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D.400～600</w:t>
      </w:r>
    </w:p>
    <w:p w14:paraId="1C1D4AF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AD2B53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36. 外墙板一般采用三明治结构，即（ ）+保温层+保护层。</w:t>
      </w:r>
    </w:p>
    <w:p w14:paraId="707DADC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A.加厚层  </w:t>
      </w:r>
    </w:p>
    <w:p w14:paraId="2080A61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B.结构层  </w:t>
      </w:r>
    </w:p>
    <w:p w14:paraId="0271023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C.防潮层  </w:t>
      </w:r>
    </w:p>
    <w:p w14:paraId="446E0E5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D.隔离层</w:t>
      </w:r>
    </w:p>
    <w:p w14:paraId="4D28A86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BD03F0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37. 钢筋连接灌浆套筒是通过（ ）的传力作用将钢筋对接连接所用的金属套筒。 </w:t>
      </w:r>
    </w:p>
    <w:p w14:paraId="6F0E7BF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水泥基灌浆料  </w:t>
      </w:r>
    </w:p>
    <w:p w14:paraId="19B72BD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石灰灌浆料 </w:t>
      </w:r>
    </w:p>
    <w:p w14:paraId="231ABBD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 石膏灌浆料</w:t>
      </w:r>
    </w:p>
    <w:p w14:paraId="53A4F8E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 混凝土灌浆料 </w:t>
      </w:r>
    </w:p>
    <w:p w14:paraId="7AEE836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B34B29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38. 热轧钢筋作力学性能检验的抽样方法以同规格、同炉罐（批）号的不多于（ ）的钢筋为一批。</w:t>
      </w:r>
    </w:p>
    <w:p w14:paraId="1FB3CAC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 xml:space="preserve">50t  </w:t>
      </w:r>
    </w:p>
    <w:p w14:paraId="4F772D8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B.70t  </w:t>
      </w:r>
    </w:p>
    <w:p w14:paraId="2A1A69D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C.60t  </w:t>
      </w:r>
    </w:p>
    <w:p w14:paraId="525B0FC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D.80t</w:t>
      </w:r>
    </w:p>
    <w:p w14:paraId="0A78573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5B7061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39.预制构件生产前，应建立（ ）制度，构件验收合格后，方可批量生产。</w:t>
      </w:r>
    </w:p>
    <w:p w14:paraId="1970844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A.标准化</w:t>
      </w:r>
    </w:p>
    <w:p w14:paraId="0C8F8A4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B.首件验收</w:t>
      </w:r>
    </w:p>
    <w:p w14:paraId="79B8DAF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C.流程管理</w:t>
      </w:r>
    </w:p>
    <w:p w14:paraId="43B5751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D.工序交接</w:t>
      </w:r>
    </w:p>
    <w:p w14:paraId="235A16A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222CA1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40.机械连接的连接区段长度是以套筒为中心长度的（ ）范围，在同一连接区段内的纵向受拉钢筋接头面积百分率不宜大于50%，但对板、墙、柱及预制构件拼接处，可适当放宽。纵向受压钢筋的接头百分率可不受限制。 </w:t>
      </w:r>
    </w:p>
    <w:p w14:paraId="1BAFEFF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A.25d   </w:t>
      </w:r>
    </w:p>
    <w:p w14:paraId="4796544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B.35d   </w:t>
      </w:r>
    </w:p>
    <w:p w14:paraId="6D2C682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C.30d   </w:t>
      </w:r>
    </w:p>
    <w:p w14:paraId="5BA3C49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D.40d</w:t>
      </w:r>
    </w:p>
    <w:p w14:paraId="34BA49A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9A828E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41.楼梯钢筋绑扎过程中，应注意（ ）。 </w:t>
      </w:r>
    </w:p>
    <w:p w14:paraId="7335868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A.受力钢筋在上，分布钢筋在下；</w:t>
      </w:r>
    </w:p>
    <w:p w14:paraId="6776986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B.受力钢筋在下，分布钢筋在上；</w:t>
      </w:r>
    </w:p>
    <w:p w14:paraId="4BC1531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C.钢筋没有上下之分；</w:t>
      </w:r>
    </w:p>
    <w:p w14:paraId="529DE25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D.以上说法均不对。</w:t>
      </w:r>
    </w:p>
    <w:p w14:paraId="0DFFF70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FB554F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42.为保证套筒灌浆腔对灌浆料的锚固能力，腔内设置的剪力槽两侧凸台轴向厚度不应小于（ ）mm。 </w:t>
      </w:r>
    </w:p>
    <w:p w14:paraId="5A8A284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A.1   </w:t>
      </w:r>
    </w:p>
    <w:p w14:paraId="013818B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B.2   </w:t>
      </w:r>
    </w:p>
    <w:p w14:paraId="6019E88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C.3  </w:t>
      </w:r>
    </w:p>
    <w:p w14:paraId="5CFB0D3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w:t>
      </w:r>
    </w:p>
    <w:p w14:paraId="2635D6F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A83694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43.预制板厚度由于脱模、吊装、运输、施工等因素，最小厚度不宜小于( )mm。</w:t>
      </w:r>
    </w:p>
    <w:p w14:paraId="1E6A126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A.50    </w:t>
      </w:r>
    </w:p>
    <w:p w14:paraId="66508BA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B.60   </w:t>
      </w:r>
    </w:p>
    <w:p w14:paraId="3B09584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C.70   </w:t>
      </w:r>
    </w:p>
    <w:p w14:paraId="708CB63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D.80</w:t>
      </w:r>
    </w:p>
    <w:p w14:paraId="61376A0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5EC10D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44.外挂墙板与主体结构连接节点应具有足够的（ ）和适应主体结构变形的能力，并应采取可靠的防腐、防锈和防火措施。 </w:t>
      </w:r>
    </w:p>
    <w:p w14:paraId="6C4E268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A.柔性 </w:t>
      </w:r>
    </w:p>
    <w:p w14:paraId="0D29B60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B.刚性 </w:t>
      </w:r>
    </w:p>
    <w:p w14:paraId="14391D6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C.承载力  </w:t>
      </w:r>
    </w:p>
    <w:p w14:paraId="6E2A0A1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D.以上说法都不对</w:t>
      </w:r>
    </w:p>
    <w:p w14:paraId="5DD17F4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90D855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45．预制墙体保温材料应与底层混凝土固定，当多层敷设时上下层接缝应（ ）。 </w:t>
      </w:r>
    </w:p>
    <w:p w14:paraId="26C02DD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A.错开       </w:t>
      </w:r>
    </w:p>
    <w:p w14:paraId="35AAB06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B.平行      </w:t>
      </w:r>
    </w:p>
    <w:p w14:paraId="703D199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C.重叠      </w:t>
      </w:r>
    </w:p>
    <w:p w14:paraId="730C3B2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D.隔开</w:t>
      </w:r>
    </w:p>
    <w:p w14:paraId="3745498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8220F6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46.以下两张图分别为何种灌浆套筒连接方式（ ）</w:t>
      </w:r>
    </w:p>
    <w:p w14:paraId="4DB633C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drawing>
          <wp:inline distT="0" distB="0" distL="114300" distR="114300">
            <wp:extent cx="1940560" cy="681355"/>
            <wp:effectExtent l="0" t="0" r="2540" b="444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1940560" cy="681355"/>
                    </a:xfrm>
                    <a:prstGeom prst="rect">
                      <a:avLst/>
                    </a:prstGeom>
                    <a:noFill/>
                    <a:ln>
                      <a:noFill/>
                    </a:ln>
                  </pic:spPr>
                </pic:pic>
              </a:graphicData>
            </a:graphic>
          </wp:inline>
        </w:drawing>
      </w:r>
    </w:p>
    <w:p w14:paraId="61ECD38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drawing>
          <wp:inline distT="0" distB="0" distL="114300" distR="114300">
            <wp:extent cx="1947545" cy="804545"/>
            <wp:effectExtent l="0" t="0" r="14605" b="14605"/>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10"/>
                    <a:stretch>
                      <a:fillRect/>
                    </a:stretch>
                  </pic:blipFill>
                  <pic:spPr>
                    <a:xfrm>
                      <a:off x="0" y="0"/>
                      <a:ext cx="1947545" cy="804545"/>
                    </a:xfrm>
                    <a:prstGeom prst="rect">
                      <a:avLst/>
                    </a:prstGeom>
                    <a:noFill/>
                    <a:ln>
                      <a:noFill/>
                    </a:ln>
                  </pic:spPr>
                </pic:pic>
              </a:graphicData>
            </a:graphic>
          </wp:inline>
        </w:drawing>
      </w:r>
    </w:p>
    <w:p w14:paraId="557B960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A.上图为直螺纹套筒，下图为全灌浆套筒 </w:t>
      </w:r>
    </w:p>
    <w:p w14:paraId="0138001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B.上图为半灌浆套筒，下图为全灌浆套筒 </w:t>
      </w:r>
    </w:p>
    <w:p w14:paraId="5C68088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C.上图为全灌浆套筒，下图为半灌浆套筒 </w:t>
      </w:r>
    </w:p>
    <w:p w14:paraId="1E1C409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D.上图为半灌浆套筒，下图为钢筋连接套筒</w:t>
      </w:r>
    </w:p>
    <w:p w14:paraId="3CE7D25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47CADB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47. 预制墙板混凝土当采用垂直浇筑成型工艺时，保温材料可在混凝土（ ）放置固定。 </w:t>
      </w:r>
    </w:p>
    <w:p w14:paraId="5E203C9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A.浇筑前     </w:t>
      </w:r>
    </w:p>
    <w:p w14:paraId="15C125C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B.浇筑中     </w:t>
      </w:r>
    </w:p>
    <w:p w14:paraId="2DD4051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C.浇筑后    </w:t>
      </w:r>
    </w:p>
    <w:p w14:paraId="39D4E2A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D.浇筑后静止一段时间</w:t>
      </w:r>
    </w:p>
    <w:p w14:paraId="3707241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7FF510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48.应定期定时对混凝土进行各项工作性能试验；按（ ）留置试块。 </w:t>
      </w:r>
    </w:p>
    <w:p w14:paraId="08D463D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A.面积        </w:t>
      </w:r>
    </w:p>
    <w:p w14:paraId="57080BD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B.楼层        </w:t>
      </w:r>
    </w:p>
    <w:p w14:paraId="6ABA5EC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C.班次       </w:t>
      </w:r>
    </w:p>
    <w:p w14:paraId="0AD2592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D.单位工程</w:t>
      </w:r>
    </w:p>
    <w:p w14:paraId="42B1E4E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DA69E2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C0DEEC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49. 混凝土预制构件覆膜保湿的自然养护是在自然环境下进行养护，保持混凝土表面湿润，养护时间不少于（ ）天。 </w:t>
      </w:r>
    </w:p>
    <w:p w14:paraId="7D8EDD8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A.5     </w:t>
      </w:r>
    </w:p>
    <w:p w14:paraId="6CD5609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B.6    </w:t>
      </w:r>
    </w:p>
    <w:p w14:paraId="50E6F43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     </w:t>
      </w:r>
    </w:p>
    <w:p w14:paraId="4732E15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w:t>
      </w:r>
    </w:p>
    <w:p w14:paraId="05FB321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0BCE59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50.吊装时吊索的直径和长度要根据（ ）确定。</w:t>
      </w:r>
    </w:p>
    <w:p w14:paraId="39C0676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A.费用多少</w:t>
      </w:r>
    </w:p>
    <w:p w14:paraId="254CF32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B.吊装构件重量和吊装构件的吊点位置</w:t>
      </w:r>
    </w:p>
    <w:p w14:paraId="1418F33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C.吊装构件重量</w:t>
      </w:r>
    </w:p>
    <w:p w14:paraId="1C383D5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D.构件的体积</w:t>
      </w:r>
    </w:p>
    <w:p w14:paraId="13E5890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二、多项选择题（共15题，每题2分，计30分。其中5个备选项中包含2个及以上正确答案，错选、多选、漏选均不得分）</w:t>
      </w:r>
    </w:p>
    <w:p w14:paraId="49F1D40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1.《装配式混凝土结构技术规程》JGJ 1-2014规定，当采用靠放架堆放或运输墙板时，靠放架应具有足够的（ ）。</w:t>
      </w:r>
    </w:p>
    <w:p w14:paraId="5D612D8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A.承载力</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741D357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B.警示色</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1F99F04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C.刚度</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6FA29A3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D.以上说法都对</w:t>
      </w:r>
    </w:p>
    <w:p w14:paraId="0F4DF52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2.《装配式混凝土建筑技术标准》GB/T 51231等标准文件规定，预制构件起吊时应采用（ ）的操作方式，保持稳定。</w:t>
      </w:r>
    </w:p>
    <w:p w14:paraId="3CC2462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A.慢起</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0409815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B.缓升</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7BB2904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C.稳放</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0C57140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D.匀速快行</w:t>
      </w:r>
    </w:p>
    <w:p w14:paraId="03A7DE4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E.快速</w:t>
      </w:r>
    </w:p>
    <w:p w14:paraId="3DD1ECE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3.为贯彻ISO14000环境管理体系，项目部应制定的《建筑工程施工环境管理计划》，其中属于环境保护内容的是(  )。</w:t>
      </w:r>
    </w:p>
    <w:p w14:paraId="397A518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A.噪声控制    </w:t>
      </w:r>
    </w:p>
    <w:p w14:paraId="249597C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固体废弃物控制    </w:t>
      </w:r>
    </w:p>
    <w:p w14:paraId="19EDA0C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C.污水控制    </w:t>
      </w:r>
    </w:p>
    <w:p w14:paraId="4C3E2EE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D.易燃易爆物控制 </w:t>
      </w:r>
    </w:p>
    <w:p w14:paraId="08999B9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E.土地保护</w:t>
      </w:r>
    </w:p>
    <w:p w14:paraId="6DC7B38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4.《装配式混凝土建筑技术标准》GB/T 51231规定，吊装大型构件、薄壁构件或形状复杂的构件时，应使用（ ）等吊具。</w:t>
      </w:r>
    </w:p>
    <w:p w14:paraId="213E74C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A溜绳</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74135F3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B.吊篮</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 xml:space="preserve"> </w:t>
      </w:r>
    </w:p>
    <w:p w14:paraId="2639C30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C.分配梁</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10FB1CB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D.分配桁架</w:t>
      </w:r>
    </w:p>
    <w:p w14:paraId="0C8A3F8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E.龙门架</w:t>
      </w:r>
    </w:p>
    <w:p w14:paraId="67B2CBC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5.装配整体式混凝土结构建筑全过程，应搭建BIM协同平台，除了协调各专业协同工作以外应保证（ ）等在平台上协同工作。</w:t>
      </w:r>
    </w:p>
    <w:p w14:paraId="5140A29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A.设计</w:t>
      </w:r>
    </w:p>
    <w:p w14:paraId="37A9E95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B.生产</w:t>
      </w:r>
    </w:p>
    <w:p w14:paraId="0C68DBA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C.施工</w:t>
      </w:r>
    </w:p>
    <w:p w14:paraId="2DBFB95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D.装修</w:t>
      </w:r>
    </w:p>
    <w:p w14:paraId="2F35008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E.采购</w:t>
      </w:r>
    </w:p>
    <w:p w14:paraId="7ACE90D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6.预制构件有哪些属于图集中常见构件（  ）</w:t>
      </w:r>
    </w:p>
    <w:p w14:paraId="6198504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A.预制外墙板</w:t>
      </w:r>
    </w:p>
    <w:p w14:paraId="2B4D173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B.预制叠合板</w:t>
      </w:r>
    </w:p>
    <w:p w14:paraId="477FE41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C.预制楼阳台板</w:t>
      </w:r>
    </w:p>
    <w:p w14:paraId="105DCA5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D.预制空调板</w:t>
      </w:r>
    </w:p>
    <w:p w14:paraId="7927C40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E.特型门窗</w:t>
      </w:r>
    </w:p>
    <w:p w14:paraId="4EC1E44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7.构件的生产工序主要包括(  )</w:t>
      </w:r>
    </w:p>
    <w:p w14:paraId="7F5F788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A.钢筋加工</w:t>
      </w:r>
    </w:p>
    <w:p w14:paraId="0C9F626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B.模板组装</w:t>
      </w:r>
    </w:p>
    <w:p w14:paraId="598EEC6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C.混凝土浇筑</w:t>
      </w:r>
    </w:p>
    <w:p w14:paraId="5B0FDCD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D.蒸汽养护</w:t>
      </w:r>
    </w:p>
    <w:p w14:paraId="0A992C5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E.运维</w:t>
      </w:r>
    </w:p>
    <w:p w14:paraId="1D52089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8.配制混凝土时，水胶比是由( )决定。</w:t>
      </w:r>
    </w:p>
    <w:p w14:paraId="6F20B3B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A．胶凝材料实测强度</w:t>
      </w:r>
    </w:p>
    <w:p w14:paraId="549A6C8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B．混凝土强度</w:t>
      </w:r>
    </w:p>
    <w:p w14:paraId="4342988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C．耐久性</w:t>
      </w:r>
    </w:p>
    <w:p w14:paraId="6CE1C42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D．拌和物的坍落度</w:t>
      </w:r>
    </w:p>
    <w:p w14:paraId="2C2E57C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E．粗骨料品种</w:t>
      </w:r>
    </w:p>
    <w:p w14:paraId="35EA69D6">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 下列预制钢筋混凝土板式楼梯的编号表述正确的是（ ）。</w:t>
      </w:r>
    </w:p>
    <w:p w14:paraId="7CEB12A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A.ST-28-25表示预制混凝土板式双跑楼梯，建筑层高2800mm、楼梯间净宽2500mm。</w:t>
      </w:r>
    </w:p>
    <w:p w14:paraId="6138722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B.JT-28-25表示预制混凝土板式剪刀楼梯，建筑层高2800mm、楼梯间净宽2500mm。</w:t>
      </w:r>
    </w:p>
    <w:p w14:paraId="4D8127F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C.ST-29-24表示预制混凝土板式双跑楼梯，建筑层高2900mm、楼梯间净宽2400mm。</w:t>
      </w:r>
    </w:p>
    <w:p w14:paraId="6EE67BE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D.ST-30-25表示预制混凝土板式剪刀楼梯，建筑层高3000mm、楼梯间净宽2500mm。</w:t>
      </w:r>
    </w:p>
    <w:p w14:paraId="1B2D2D7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E.JT-29-26表示预制混凝土板式双跑楼梯，建筑层高2900mm、楼梯间净宽2600mm。</w:t>
      </w:r>
    </w:p>
    <w:p w14:paraId="393349B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 模具组装前，模板接触面（ ）等应满足相关设计要求。</w:t>
      </w:r>
    </w:p>
    <w:p w14:paraId="7FA05E2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A.平整度</w:t>
      </w:r>
    </w:p>
    <w:p w14:paraId="4649DCF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B.板面弯曲</w:t>
      </w:r>
    </w:p>
    <w:p w14:paraId="1AAF741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C.拼装缝隙</w:t>
      </w:r>
    </w:p>
    <w:p w14:paraId="5806115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D.清洁度</w:t>
      </w:r>
    </w:p>
    <w:p w14:paraId="7BD509A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E.几何尺寸 </w:t>
      </w:r>
    </w:p>
    <w:p w14:paraId="555B60B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 热轧钢筋作力学性能检验的抽样方法正确的是（  ）。</w:t>
      </w:r>
    </w:p>
    <w:p w14:paraId="2D9AA03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A.以同规格、同炉罐（批）号的不多于60t的钢筋为一批；</w:t>
      </w:r>
    </w:p>
    <w:p w14:paraId="2001B70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B.从每批中任选两根钢筋；</w:t>
      </w:r>
    </w:p>
    <w:p w14:paraId="7CD8295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C.每根钢筋取四个试件；</w:t>
      </w:r>
    </w:p>
    <w:p w14:paraId="0BB7C51B">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D.做拉力试验；</w:t>
      </w:r>
    </w:p>
    <w:p w14:paraId="24115B1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E.冷弯试验</w:t>
      </w:r>
    </w:p>
    <w:p w14:paraId="4AC50B7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12.以下套筒材料验收正确的做法有（  ）。</w:t>
      </w:r>
    </w:p>
    <w:p w14:paraId="0454F23A">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A.资质检验：套筒生产厂家出具套筒出厂合格证，材质证明书，型式检验报告等； </w:t>
      </w:r>
    </w:p>
    <w:p w14:paraId="49DD5E6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B.检查套筒外观以及尺寸； </w:t>
      </w:r>
    </w:p>
    <w:p w14:paraId="4C7C871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C.同一批号、同一类型、同一规格的灌浆套筒，不超过1000个为一批；</w:t>
      </w:r>
    </w:p>
    <w:p w14:paraId="6058459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D.每批随机抽取15个灌浆套筒；</w:t>
      </w:r>
    </w:p>
    <w:p w14:paraId="35738F5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E.抗拉强度检验：每1000个同批灌浆套筒抽取3个，采用与施工相同的灌浆料，模拟施工条件，制作接头抗拉试件。 </w:t>
      </w:r>
    </w:p>
    <w:p w14:paraId="28C3E4C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 接头工艺检验应符合下列规定(  )。</w:t>
      </w:r>
    </w:p>
    <w:p w14:paraId="7E2C94A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A.灌浆套筒埋入预制构件时，工艺检验应在预制构件生产前进行； </w:t>
      </w:r>
    </w:p>
    <w:p w14:paraId="0F500697">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B.当现场灌浆施工单位与工艺检验时的灌浆单位不同，灌浆前应再次进行工艺检验。</w:t>
      </w:r>
    </w:p>
    <w:p w14:paraId="0C19979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C.工艺检验不需要模拟施工条件制作接头试件。</w:t>
      </w:r>
    </w:p>
    <w:p w14:paraId="4CDA23D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D.每种规格钢筋应制作6个对中套筒灌浆连接接头，并应检查灌浆质量；</w:t>
      </w:r>
    </w:p>
    <w:p w14:paraId="679D1B8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E.采用灌浆料拌合物制作的40mm×40mm×160mm试件不应少于1组。接头试件及灌浆料试件应在标准养护条件下养护28天。</w:t>
      </w:r>
    </w:p>
    <w:p w14:paraId="0C26D5E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 预制混凝土楼面板按照制造工艺不同可分为(  )。</w:t>
      </w:r>
    </w:p>
    <w:p w14:paraId="48E84320">
      <w:pPr>
        <w:pStyle w:val="24"/>
        <w:tabs>
          <w:tab w:val="left" w:pos="315"/>
          <w:tab w:val="left" w:pos="4200"/>
          <w:tab w:val="left" w:pos="6090"/>
        </w:tabs>
        <w:snapToGrid w:val="0"/>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A.预制混凝土叠合板 </w:t>
      </w:r>
    </w:p>
    <w:p w14:paraId="1163FE6A">
      <w:pPr>
        <w:pStyle w:val="24"/>
        <w:tabs>
          <w:tab w:val="left" w:pos="315"/>
          <w:tab w:val="left" w:pos="4200"/>
          <w:tab w:val="left" w:pos="6090"/>
        </w:tabs>
        <w:snapToGrid w:val="0"/>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B.预制混凝土实心板</w:t>
      </w:r>
    </w:p>
    <w:p w14:paraId="4423EF8A">
      <w:pPr>
        <w:pStyle w:val="24"/>
        <w:tabs>
          <w:tab w:val="left" w:pos="315"/>
          <w:tab w:val="left" w:pos="4200"/>
          <w:tab w:val="left" w:pos="6090"/>
        </w:tabs>
        <w:snapToGrid w:val="0"/>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C.预制混凝土空心板</w:t>
      </w:r>
    </w:p>
    <w:p w14:paraId="31A96277">
      <w:pPr>
        <w:pStyle w:val="24"/>
        <w:tabs>
          <w:tab w:val="left" w:pos="315"/>
          <w:tab w:val="left" w:pos="4200"/>
          <w:tab w:val="left" w:pos="6090"/>
        </w:tabs>
        <w:snapToGrid w:val="0"/>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D.预制混凝土夹芯板</w:t>
      </w:r>
    </w:p>
    <w:p w14:paraId="4A33473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E.预制混凝土双T板</w:t>
      </w:r>
    </w:p>
    <w:p w14:paraId="0E98DEB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 为保证钢筋安装在套筒内的长度在其允许偏差范围内（  ）。</w:t>
      </w:r>
    </w:p>
    <w:p w14:paraId="19A5E3E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A.套筒内钢筋长度最短不小于接头型式检验确定的锚固长度；</w:t>
      </w:r>
    </w:p>
    <w:p w14:paraId="0C242C2C">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B.套筒内钢筋长度最长不大于套筒灌浆腔最大深度；</w:t>
      </w:r>
    </w:p>
    <w:p w14:paraId="62BF4A02">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C.灌浆套筒中间轴向定位点两侧应预留钢筋安装调整长度，预制端不应小于10mm；</w:t>
      </w:r>
    </w:p>
    <w:p w14:paraId="5F87072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D.灌浆套筒中间轴向定位点两侧应预留钢筋安装调整长度，现场装配端小于20mm；</w:t>
      </w:r>
    </w:p>
    <w:p w14:paraId="5A29D6C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E.灌浆套筒中间轴向定位点两侧应预留钢筋安装调整长度，预制端不应小于20mm。</w:t>
      </w:r>
    </w:p>
    <w:p w14:paraId="4F5ABA9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bookmarkStart w:id="0" w:name="_GoBack"/>
      <w:bookmarkEnd w:id="0"/>
      <w:r>
        <w:rPr>
          <w:rFonts w:hint="eastAsia" w:ascii="仿宋_GB2312" w:hAnsi="仿宋_GB2312" w:eastAsia="仿宋_GB2312" w:cs="仿宋_GB2312"/>
          <w:b/>
          <w:bCs/>
          <w:sz w:val="28"/>
          <w:szCs w:val="28"/>
        </w:rPr>
        <w:t>三、判断题（共20题，每题1分，计20分）</w:t>
      </w:r>
    </w:p>
    <w:p w14:paraId="66B4A810">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1.装配式建筑是由预制混凝土构件通过可靠的连接方式装配而成的混凝土结构，包括装配式混凝土结构和全装配混凝土结构等。（  ）</w:t>
      </w:r>
    </w:p>
    <w:p w14:paraId="3BA0680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2.PK叠合板负弯矩筋和分布钢筋的布置原则是：顺肋方向钢筋配置在上面，垂肋方向钢筋配置在下面。（  ）</w:t>
      </w:r>
    </w:p>
    <w:p w14:paraId="13C36B7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3.PK预应力混凝土叠合板的预制底板3cm厚，是国际上最薄、最轻的叠合板之一。（  ）</w:t>
      </w:r>
    </w:p>
    <w:p w14:paraId="4AFECAC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4.预制梁侧面应设键槽，可不设粗糙面。（  ）</w:t>
      </w:r>
    </w:p>
    <w:p w14:paraId="2BB57175">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5.预制构件竖向受力钢筋的链接，宜优先采用套筒灌浆连接接头（ ）</w:t>
      </w:r>
    </w:p>
    <w:p w14:paraId="6ACE6E7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6.装配整体式结构的预制梁、预制柱及预制剪力墙断面处不是必须设置抗剪键槽。（  ）</w:t>
      </w:r>
    </w:p>
    <w:p w14:paraId="0C6FD632">
      <w:pPr>
        <w:pStyle w:val="24"/>
        <w:tabs>
          <w:tab w:val="left" w:pos="315"/>
          <w:tab w:val="left" w:pos="4200"/>
          <w:tab w:val="left" w:pos="6090"/>
        </w:tabs>
        <w:snapToGrid w:val="0"/>
        <w:spacing w:line="36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7.转换柱、转换梁及周边楼盖结构宜采用现浇。（  ）</w:t>
      </w:r>
    </w:p>
    <w:p w14:paraId="3978FA6E">
      <w:pPr>
        <w:pStyle w:val="24"/>
        <w:tabs>
          <w:tab w:val="left" w:pos="315"/>
          <w:tab w:val="left" w:pos="4200"/>
          <w:tab w:val="left" w:pos="6090"/>
        </w:tabs>
        <w:snapToGrid w:val="0"/>
        <w:spacing w:line="36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8.预制构件脱模吊装验算时，动力系数可依据受力情况和安全情况适当增减。（  ）</w:t>
      </w:r>
    </w:p>
    <w:p w14:paraId="712C25A0">
      <w:pPr>
        <w:pStyle w:val="24"/>
        <w:tabs>
          <w:tab w:val="left" w:pos="315"/>
          <w:tab w:val="left" w:pos="4200"/>
          <w:tab w:val="left" w:pos="6090"/>
        </w:tabs>
        <w:snapToGrid w:val="0"/>
        <w:spacing w:line="36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9.竖向构件安装就位后，可通过临时支撑对构件的位置和标高进行微调。（  ）</w:t>
      </w:r>
    </w:p>
    <w:p w14:paraId="45AC58E5">
      <w:pPr>
        <w:pStyle w:val="24"/>
        <w:tabs>
          <w:tab w:val="left" w:pos="315"/>
          <w:tab w:val="left" w:pos="4200"/>
          <w:tab w:val="left" w:pos="6090"/>
        </w:tabs>
        <w:snapToGrid w:val="0"/>
        <w:spacing w:line="36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10.水平角观测的方法有测回法、方向观测法和全圆观测法三种形式。（  ）</w:t>
      </w:r>
    </w:p>
    <w:p w14:paraId="7FDB2713">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11.起重机的三项主要参数是起重量、起重机臂长和起重高度。（ ）</w:t>
      </w:r>
    </w:p>
    <w:p w14:paraId="1576F499">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12.散落在地上的灌浆料拌合物可以及时收集起来，再次拌和二次使用。（  ）</w:t>
      </w:r>
    </w:p>
    <w:p w14:paraId="0F924C41">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13.钢筋套筒灌浆连接的基本原理，是在金属套筒中插入单根带肋钢筋并注入灌浆料拌合物，通过拌合物硬化形成整体并实现传力的钢筋连接的方式。（  ）</w:t>
      </w:r>
    </w:p>
    <w:p w14:paraId="7A8415B4">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14.吊运预制构件时，构件下方严禁站人，应待预制构件降落至距地面1m 以内方准作业人员靠近，就位固定后方可脱钩。（  ）</w:t>
      </w:r>
    </w:p>
    <w:p w14:paraId="38418E28">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15.吊装预制梁时，吊绳与梁的夹角宜采用10°～30°。（  ）</w:t>
      </w:r>
    </w:p>
    <w:p w14:paraId="45F7606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16.吊装作业时，高空应通过缆风绳改变预制构件方向，严禁高空直接用手扶预制构件。（  ）</w:t>
      </w:r>
    </w:p>
    <w:p w14:paraId="3E3B5C3D">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17.预制构件生产的质量检验应按模具、钢筋、混凝土、预应力、预制构件等检验进行。（  ）</w:t>
      </w:r>
    </w:p>
    <w:p w14:paraId="064E68CE">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18.模具组装应连接牢固，接缝应紧密，附带的埋件或工装应定位准确，安装牢固。（  ）</w:t>
      </w:r>
    </w:p>
    <w:p w14:paraId="091755B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19.屋面以及立面收进的楼层，应在预制剪力墙顶部设置封闭的后浇钢筋混凝土圈梁。（  ）</w:t>
      </w:r>
    </w:p>
    <w:p w14:paraId="5F41289F">
      <w:pPr>
        <w:pStyle w:val="24"/>
        <w:tabs>
          <w:tab w:val="left" w:pos="315"/>
          <w:tab w:val="left" w:pos="4200"/>
          <w:tab w:val="left" w:pos="6090"/>
        </w:tabs>
        <w:snapToGrid w:val="0"/>
        <w:spacing w:line="300" w:lineRule="auto"/>
        <w:ind w:firstLine="0" w:firstLineChars="0"/>
        <w:rPr>
          <w:rFonts w:ascii="仿宋_GB2312" w:hAnsi="仿宋_GB2312" w:eastAsia="仿宋_GB2312" w:cs="仿宋_GB2312"/>
          <w:b/>
          <w:sz w:val="30"/>
          <w:szCs w:val="30"/>
        </w:rPr>
      </w:pPr>
      <w:r>
        <w:rPr>
          <w:rFonts w:hint="eastAsia" w:ascii="仿宋_GB2312" w:hAnsi="仿宋_GB2312" w:eastAsia="仿宋_GB2312" w:cs="仿宋_GB2312"/>
          <w:sz w:val="28"/>
          <w:szCs w:val="28"/>
        </w:rPr>
        <w:t>20.预制剪力墙相邻下层为现浇剪力墙时，下层现浇剪力墙顶面应设置粗糙面。（）</w:t>
      </w:r>
    </w:p>
    <w:p w14:paraId="61C04A5B">
      <w:pPr>
        <w:pStyle w:val="15"/>
        <w:jc w:val="center"/>
        <w:rPr>
          <w:rFonts w:ascii="仿宋_GB2312" w:hAnsi="仿宋_GB2312" w:eastAsia="仿宋_GB2312" w:cs="仿宋_GB2312"/>
          <w:b/>
          <w:sz w:val="30"/>
          <w:szCs w:val="30"/>
        </w:rPr>
      </w:pPr>
    </w:p>
    <w:p w14:paraId="28F162CC">
      <w:pPr>
        <w:pStyle w:val="15"/>
        <w:jc w:val="center"/>
        <w:rPr>
          <w:rFonts w:ascii="仿宋_GB2312" w:hAnsi="仿宋_GB2312" w:eastAsia="仿宋_GB2312" w:cs="仿宋_GB2312"/>
          <w:b/>
          <w:sz w:val="30"/>
          <w:szCs w:val="30"/>
        </w:rPr>
      </w:pPr>
    </w:p>
    <w:p w14:paraId="4F67E880">
      <w:pPr>
        <w:pStyle w:val="15"/>
        <w:jc w:val="center"/>
        <w:rPr>
          <w:rFonts w:ascii="仿宋_GB2312" w:hAnsi="仿宋_GB2312" w:eastAsia="仿宋_GB2312" w:cs="仿宋_GB2312"/>
          <w:b/>
          <w:sz w:val="30"/>
          <w:szCs w:val="30"/>
        </w:rPr>
      </w:pPr>
    </w:p>
    <w:p w14:paraId="604F5FC6">
      <w:pPr>
        <w:pStyle w:val="15"/>
        <w:jc w:val="center"/>
        <w:rPr>
          <w:rFonts w:ascii="仿宋_GB2312" w:hAnsi="仿宋_GB2312" w:eastAsia="仿宋_GB2312" w:cs="仿宋_GB2312"/>
          <w:b/>
          <w:sz w:val="30"/>
          <w:szCs w:val="30"/>
        </w:rPr>
      </w:pPr>
    </w:p>
    <w:p w14:paraId="601A10A2">
      <w:pPr>
        <w:pStyle w:val="15"/>
        <w:jc w:val="center"/>
        <w:rPr>
          <w:rFonts w:ascii="仿宋_GB2312" w:hAnsi="仿宋_GB2312" w:eastAsia="仿宋_GB2312" w:cs="仿宋_GB2312"/>
          <w:b/>
          <w:sz w:val="30"/>
          <w:szCs w:val="30"/>
        </w:rPr>
      </w:pPr>
    </w:p>
    <w:p w14:paraId="62FD11A8">
      <w:pPr>
        <w:pStyle w:val="15"/>
        <w:jc w:val="center"/>
        <w:rPr>
          <w:rFonts w:ascii="仿宋_GB2312" w:hAnsi="仿宋_GB2312" w:eastAsia="仿宋_GB2312" w:cs="仿宋_GB2312"/>
          <w:b/>
          <w:sz w:val="30"/>
          <w:szCs w:val="30"/>
        </w:rPr>
      </w:pPr>
    </w:p>
    <w:p w14:paraId="219B4F12">
      <w:pPr>
        <w:pStyle w:val="15"/>
        <w:jc w:val="center"/>
        <w:rPr>
          <w:rFonts w:ascii="仿宋_GB2312" w:hAnsi="仿宋_GB2312" w:eastAsia="仿宋_GB2312" w:cs="仿宋_GB2312"/>
          <w:b/>
          <w:sz w:val="30"/>
          <w:szCs w:val="30"/>
        </w:rPr>
      </w:pPr>
    </w:p>
    <w:p w14:paraId="5E3534BD">
      <w:pPr>
        <w:pStyle w:val="15"/>
        <w:jc w:val="center"/>
        <w:rPr>
          <w:rFonts w:ascii="仿宋_GB2312" w:hAnsi="仿宋_GB2312" w:eastAsia="仿宋_GB2312" w:cs="仿宋_GB2312"/>
          <w:b/>
          <w:sz w:val="30"/>
          <w:szCs w:val="30"/>
        </w:rPr>
      </w:pPr>
    </w:p>
    <w:p w14:paraId="3A351046">
      <w:pPr>
        <w:pStyle w:val="15"/>
        <w:jc w:val="center"/>
        <w:rPr>
          <w:rFonts w:ascii="仿宋_GB2312" w:hAnsi="仿宋_GB2312" w:eastAsia="仿宋_GB2312" w:cs="仿宋_GB2312"/>
          <w:b/>
          <w:sz w:val="30"/>
          <w:szCs w:val="30"/>
        </w:rPr>
      </w:pPr>
    </w:p>
    <w:p w14:paraId="20BE3090">
      <w:pPr>
        <w:pStyle w:val="15"/>
        <w:jc w:val="center"/>
        <w:rPr>
          <w:rFonts w:ascii="仿宋_GB2312" w:hAnsi="仿宋_GB2312" w:eastAsia="仿宋_GB2312" w:cs="仿宋_GB2312"/>
          <w:b/>
          <w:sz w:val="30"/>
          <w:szCs w:val="30"/>
        </w:rPr>
      </w:pPr>
    </w:p>
    <w:p w14:paraId="3B59C3B4">
      <w:pPr>
        <w:pStyle w:val="15"/>
        <w:jc w:val="center"/>
        <w:rPr>
          <w:rFonts w:ascii="仿宋_GB2312" w:hAnsi="仿宋_GB2312" w:eastAsia="仿宋_GB2312" w:cs="仿宋_GB2312"/>
          <w:b/>
          <w:sz w:val="30"/>
          <w:szCs w:val="30"/>
        </w:rPr>
      </w:pPr>
    </w:p>
    <w:p w14:paraId="7DB59D7D">
      <w:pPr>
        <w:pStyle w:val="15"/>
        <w:jc w:val="center"/>
        <w:rPr>
          <w:rFonts w:ascii="仿宋_GB2312" w:hAnsi="仿宋_GB2312" w:eastAsia="仿宋_GB2312" w:cs="仿宋_GB2312"/>
          <w:b/>
          <w:sz w:val="30"/>
          <w:szCs w:val="30"/>
        </w:rPr>
      </w:pPr>
    </w:p>
    <w:p w14:paraId="3B67C117">
      <w:pPr>
        <w:pStyle w:val="15"/>
        <w:jc w:val="center"/>
        <w:rPr>
          <w:rFonts w:ascii="仿宋_GB2312" w:hAnsi="仿宋_GB2312" w:eastAsia="仿宋_GB2312" w:cs="仿宋_GB2312"/>
          <w:b/>
          <w:sz w:val="30"/>
          <w:szCs w:val="30"/>
        </w:rPr>
      </w:pPr>
    </w:p>
    <w:p w14:paraId="166772CA">
      <w:pPr>
        <w:pStyle w:val="15"/>
        <w:jc w:val="center"/>
        <w:rPr>
          <w:rFonts w:ascii="仿宋_GB2312" w:hAnsi="仿宋_GB2312" w:eastAsia="仿宋_GB2312" w:cs="仿宋_GB2312"/>
          <w:b/>
          <w:sz w:val="30"/>
          <w:szCs w:val="30"/>
        </w:rPr>
      </w:pPr>
    </w:p>
    <w:p w14:paraId="19AB6449">
      <w:pPr>
        <w:pStyle w:val="15"/>
        <w:jc w:val="center"/>
        <w:rPr>
          <w:rFonts w:ascii="仿宋_GB2312" w:hAnsi="仿宋_GB2312" w:eastAsia="仿宋_GB2312" w:cs="仿宋_GB2312"/>
          <w:b/>
          <w:sz w:val="30"/>
          <w:szCs w:val="30"/>
        </w:rPr>
      </w:pPr>
    </w:p>
    <w:p w14:paraId="5F330123">
      <w:pPr>
        <w:pStyle w:val="15"/>
        <w:jc w:val="center"/>
        <w:rPr>
          <w:rFonts w:ascii="仿宋_GB2312" w:hAnsi="仿宋_GB2312" w:eastAsia="仿宋_GB2312" w:cs="仿宋_GB2312"/>
          <w:b/>
          <w:sz w:val="30"/>
          <w:szCs w:val="30"/>
        </w:rPr>
      </w:pPr>
    </w:p>
    <w:p w14:paraId="42BF7388">
      <w:pPr>
        <w:pStyle w:val="15"/>
        <w:jc w:val="center"/>
        <w:rPr>
          <w:rFonts w:ascii="仿宋_GB2312" w:hAnsi="仿宋_GB2312" w:eastAsia="仿宋_GB2312" w:cs="仿宋_GB2312"/>
          <w:b/>
          <w:sz w:val="30"/>
          <w:szCs w:val="30"/>
        </w:rPr>
      </w:pPr>
    </w:p>
    <w:p w14:paraId="45BFFDC0">
      <w:pPr>
        <w:pStyle w:val="15"/>
        <w:jc w:val="center"/>
        <w:rPr>
          <w:rFonts w:ascii="仿宋_GB2312" w:hAnsi="仿宋_GB2312" w:eastAsia="仿宋_GB2312" w:cs="仿宋_GB2312"/>
          <w:b/>
          <w:sz w:val="30"/>
          <w:szCs w:val="30"/>
        </w:rPr>
      </w:pPr>
    </w:p>
    <w:p w14:paraId="71768451">
      <w:pPr>
        <w:pStyle w:val="15"/>
        <w:jc w:val="center"/>
        <w:rPr>
          <w:rFonts w:ascii="仿宋_GB2312" w:hAnsi="仿宋_GB2312" w:eastAsia="仿宋_GB2312" w:cs="仿宋_GB2312"/>
          <w:b/>
          <w:sz w:val="30"/>
          <w:szCs w:val="30"/>
        </w:rPr>
      </w:pPr>
    </w:p>
    <w:p w14:paraId="6ABF01E6">
      <w:pPr>
        <w:widowControl/>
        <w:jc w:val="left"/>
        <w:rPr>
          <w:rFonts w:ascii="仿宋_GB2312" w:hAnsi="仿宋_GB2312" w:eastAsia="仿宋_GB2312" w:cs="仿宋_GB2312"/>
          <w:b/>
          <w:sz w:val="30"/>
          <w:szCs w:val="30"/>
        </w:rPr>
      </w:pPr>
      <w:r>
        <w:rPr>
          <w:rFonts w:ascii="仿宋_GB2312" w:hAnsi="仿宋_GB2312" w:eastAsia="仿宋_GB2312" w:cs="仿宋_GB2312"/>
          <w:b/>
          <w:sz w:val="30"/>
          <w:szCs w:val="30"/>
        </w:rPr>
        <w:br w:type="page"/>
      </w:r>
    </w:p>
    <w:p w14:paraId="269250ED">
      <w:pPr>
        <w:pStyle w:val="27"/>
        <w:spacing w:line="619" w:lineRule="exact"/>
        <w:ind w:firstLine="0"/>
        <w:jc w:val="center"/>
        <w:rPr>
          <w:b/>
          <w:bCs/>
          <w:sz w:val="32"/>
          <w:szCs w:val="32"/>
        </w:rPr>
      </w:pPr>
      <w:r>
        <w:rPr>
          <w:rFonts w:hint="eastAsia"/>
          <w:b/>
          <w:bCs/>
          <w:sz w:val="32"/>
          <w:szCs w:val="32"/>
        </w:rPr>
        <w:t>模块二 虚拟仿真竞赛试卷</w:t>
      </w:r>
    </w:p>
    <w:p w14:paraId="5637549C">
      <w:pPr>
        <w:pStyle w:val="15"/>
        <w:spacing w:line="418" w:lineRule="auto"/>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23B5CD93">
      <w:pPr>
        <w:pStyle w:val="15"/>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1、本竞赛环节为“装配式建筑构件虚拟仿真赛项”，分值为100分。该环节加权系数为0.</w:t>
      </w:r>
      <w:r>
        <w:rPr>
          <w:rFonts w:ascii="仿宋_GB2312" w:hAnsi="仿宋_GB2312" w:eastAsia="仿宋_GB2312" w:cs="仿宋_GB2312"/>
          <w:color w:val="000000"/>
          <w:kern w:val="0"/>
          <w:szCs w:val="28"/>
          <w:lang w:bidi="ar"/>
        </w:rPr>
        <w:t>2</w:t>
      </w:r>
      <w:r>
        <w:rPr>
          <w:rFonts w:hint="eastAsia" w:ascii="仿宋_GB2312" w:hAnsi="仿宋_GB2312" w:eastAsia="仿宋_GB2312" w:cs="仿宋_GB2312"/>
          <w:color w:val="000000"/>
          <w:kern w:val="0"/>
          <w:szCs w:val="28"/>
          <w:lang w:bidi="ar"/>
        </w:rPr>
        <w:t>。</w:t>
      </w:r>
    </w:p>
    <w:p w14:paraId="109C3F45">
      <w:pPr>
        <w:pStyle w:val="15"/>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2、本竞赛环节总时长为连续90分钟。</w:t>
      </w:r>
    </w:p>
    <w:p w14:paraId="5533FCC0">
      <w:pPr>
        <w:pStyle w:val="15"/>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3、竞赛过程中请参赛选手注意赛场纪律.</w:t>
      </w:r>
    </w:p>
    <w:p w14:paraId="467444EA">
      <w:pPr>
        <w:pStyle w:val="15"/>
        <w:spacing w:line="418" w:lineRule="auto"/>
        <w:ind w:firstLine="560" w:firstLineChars="200"/>
      </w:pPr>
      <w:r>
        <w:rPr>
          <w:rFonts w:hint="eastAsia" w:ascii="仿宋_GB2312" w:hAnsi="仿宋_GB2312" w:eastAsia="仿宋_GB2312" w:cs="仿宋_GB2312"/>
          <w:color w:val="000000"/>
          <w:kern w:val="0"/>
          <w:szCs w:val="28"/>
          <w:lang w:bidi="ar"/>
        </w:rPr>
        <w:t>4、竞赛过程中遇到意外情况，应及时向当值裁判报告，听从裁判安排，不要自行处理</w:t>
      </w:r>
      <w:r>
        <w:rPr>
          <w:rFonts w:hint="eastAsia"/>
          <w:szCs w:val="28"/>
          <w:lang w:bidi="ar"/>
        </w:rPr>
        <w:t>。</w:t>
      </w:r>
    </w:p>
    <w:p w14:paraId="7584A5D0">
      <w:pPr>
        <w:pStyle w:val="27"/>
        <w:spacing w:line="619" w:lineRule="exact"/>
        <w:ind w:firstLine="0"/>
        <w:jc w:val="center"/>
        <w:rPr>
          <w:b/>
          <w:bCs/>
          <w:sz w:val="32"/>
          <w:szCs w:val="32"/>
        </w:rPr>
      </w:pPr>
      <w:r>
        <w:rPr>
          <w:rFonts w:hint="eastAsia"/>
          <w:b/>
          <w:bCs/>
          <w:sz w:val="32"/>
          <w:szCs w:val="32"/>
        </w:rPr>
        <w:t>任务一：装配式构件安装虚拟仿真</w:t>
      </w:r>
    </w:p>
    <w:p w14:paraId="7CDA1079">
      <w:pPr>
        <w:pStyle w:val="15"/>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装配式</w:t>
      </w:r>
      <w:r>
        <w:rPr>
          <w:rFonts w:ascii="仿宋_GB2312" w:hAnsi="仿宋_GB2312" w:eastAsia="仿宋_GB2312" w:cs="仿宋_GB2312"/>
          <w:color w:val="000000"/>
          <w:kern w:val="0"/>
          <w:szCs w:val="28"/>
          <w:lang w:bidi="ar"/>
        </w:rPr>
        <w:t>构件</w:t>
      </w:r>
      <w:r>
        <w:rPr>
          <w:rFonts w:hint="eastAsia" w:ascii="仿宋_GB2312" w:hAnsi="仿宋_GB2312" w:eastAsia="仿宋_GB2312" w:cs="仿宋_GB2312"/>
          <w:color w:val="000000"/>
          <w:kern w:val="0"/>
          <w:szCs w:val="28"/>
          <w:lang w:bidi="ar"/>
        </w:rPr>
        <w:t>安装虚拟仿真</w:t>
      </w:r>
      <w:r>
        <w:rPr>
          <w:rFonts w:ascii="仿宋_GB2312" w:hAnsi="仿宋_GB2312" w:eastAsia="仿宋_GB2312" w:cs="仿宋_GB2312"/>
          <w:color w:val="000000"/>
          <w:kern w:val="0"/>
          <w:szCs w:val="28"/>
          <w:lang w:bidi="ar"/>
        </w:rPr>
        <w:t>需包括构件吊装</w:t>
      </w:r>
      <w:r>
        <w:rPr>
          <w:rFonts w:hint="eastAsia" w:ascii="仿宋_GB2312" w:hAnsi="仿宋_GB2312" w:eastAsia="仿宋_GB2312" w:cs="仿宋_GB2312"/>
          <w:color w:val="000000"/>
          <w:kern w:val="0"/>
          <w:szCs w:val="28"/>
          <w:lang w:bidi="ar"/>
        </w:rPr>
        <w:t>与节点</w:t>
      </w:r>
      <w:r>
        <w:rPr>
          <w:rFonts w:ascii="仿宋_GB2312" w:hAnsi="仿宋_GB2312" w:eastAsia="仿宋_GB2312" w:cs="仿宋_GB2312"/>
          <w:color w:val="000000"/>
          <w:kern w:val="0"/>
          <w:szCs w:val="28"/>
          <w:lang w:bidi="ar"/>
        </w:rPr>
        <w:t>连接</w:t>
      </w:r>
      <w:r>
        <w:rPr>
          <w:rFonts w:hint="eastAsia" w:ascii="仿宋_GB2312" w:hAnsi="仿宋_GB2312" w:eastAsia="仿宋_GB2312" w:cs="仿宋_GB2312"/>
          <w:color w:val="000000"/>
          <w:kern w:val="0"/>
          <w:szCs w:val="28"/>
          <w:lang w:bidi="ar"/>
        </w:rPr>
        <w:t>。</w:t>
      </w:r>
    </w:p>
    <w:p w14:paraId="54B6F229">
      <w:pPr>
        <w:pStyle w:val="15"/>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（一）构件吊装</w:t>
      </w:r>
    </w:p>
    <w:p w14:paraId="0974E0A5">
      <w:pPr>
        <w:pStyle w:val="15"/>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根据任务要求进行施工准备、构件确认检查、定位放线、连接钢筋检查矫正、结合面处理、标高超平、保温条铺设、起板移位、吊装就位、临时固定矫正、工完料清等操作。</w:t>
      </w:r>
    </w:p>
    <w:p w14:paraId="63DAD3EF">
      <w:pPr>
        <w:pStyle w:val="15"/>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（二）节点</w:t>
      </w:r>
      <w:r>
        <w:rPr>
          <w:rFonts w:ascii="仿宋_GB2312" w:hAnsi="仿宋_GB2312" w:eastAsia="仿宋_GB2312" w:cs="仿宋_GB2312"/>
          <w:color w:val="000000"/>
          <w:kern w:val="0"/>
          <w:szCs w:val="28"/>
          <w:lang w:bidi="ar"/>
        </w:rPr>
        <w:t>连接</w:t>
      </w:r>
    </w:p>
    <w:p w14:paraId="5D01684A">
      <w:pPr>
        <w:pStyle w:val="15"/>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根据根据任务要求进行施工准备、连接钢筋检查矫正、结合面处理、保温条粘贴、安装螺纹套筒、钢筋绑扎、模板支设、混凝土浇筑、工完料清等操作。</w:t>
      </w:r>
    </w:p>
    <w:p w14:paraId="1A0AD160">
      <w:pPr>
        <w:widowControl/>
        <w:spacing w:line="418" w:lineRule="auto"/>
        <w:ind w:firstLine="560" w:firstLineChars="200"/>
        <w:rPr>
          <w:sz w:val="28"/>
          <w:szCs w:val="28"/>
          <w:lang w:bidi="ar"/>
        </w:rPr>
      </w:pPr>
    </w:p>
    <w:p w14:paraId="2C0F1855">
      <w:pPr>
        <w:pStyle w:val="27"/>
        <w:spacing w:line="619" w:lineRule="exact"/>
        <w:ind w:firstLine="0"/>
        <w:jc w:val="center"/>
        <w:rPr>
          <w:b/>
          <w:bCs/>
          <w:sz w:val="32"/>
          <w:szCs w:val="32"/>
        </w:rPr>
      </w:pPr>
      <w:r>
        <w:rPr>
          <w:rFonts w:hint="eastAsia"/>
          <w:b/>
          <w:bCs/>
          <w:sz w:val="32"/>
          <w:szCs w:val="32"/>
        </w:rPr>
        <w:t>任务二：装配式构件灌浆虚拟仿真</w:t>
      </w:r>
    </w:p>
    <w:p w14:paraId="5A254128">
      <w:pPr>
        <w:pStyle w:val="15"/>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装配式建筑构件虚拟安装仿真</w:t>
      </w:r>
      <w:r>
        <w:rPr>
          <w:rFonts w:ascii="仿宋_GB2312" w:hAnsi="仿宋_GB2312" w:eastAsia="仿宋_GB2312" w:cs="仿宋_GB2312"/>
          <w:color w:val="000000"/>
          <w:kern w:val="0"/>
          <w:szCs w:val="28"/>
          <w:lang w:bidi="ar"/>
        </w:rPr>
        <w:t>包括</w:t>
      </w:r>
      <w:r>
        <w:rPr>
          <w:rFonts w:hint="eastAsia" w:ascii="仿宋_GB2312" w:hAnsi="仿宋_GB2312" w:eastAsia="仿宋_GB2312" w:cs="仿宋_GB2312"/>
          <w:color w:val="000000"/>
          <w:kern w:val="0"/>
          <w:szCs w:val="28"/>
          <w:lang w:bidi="ar"/>
        </w:rPr>
        <w:t>施工准备、封缝料制备、分仓、封仓、灌浆料制备、流动度检测、试块制作、灌浆施工、工完料清等操作。</w:t>
      </w:r>
    </w:p>
    <w:p w14:paraId="3CB8B2BD">
      <w:pPr>
        <w:widowControl/>
        <w:jc w:val="left"/>
        <w:rPr>
          <w:rFonts w:ascii="仿宋_GB2312" w:hAnsi="仿宋_GB2312" w:eastAsia="仿宋_GB2312" w:cs="仿宋_GB2312"/>
          <w:b/>
          <w:sz w:val="30"/>
          <w:szCs w:val="30"/>
        </w:rPr>
      </w:pPr>
      <w:r>
        <w:rPr>
          <w:rFonts w:ascii="仿宋_GB2312" w:hAnsi="仿宋_GB2312" w:eastAsia="仿宋_GB2312" w:cs="仿宋_GB2312"/>
          <w:b/>
          <w:sz w:val="30"/>
          <w:szCs w:val="30"/>
        </w:rPr>
        <w:br w:type="page"/>
      </w:r>
    </w:p>
    <w:p w14:paraId="6DE508D5">
      <w:pPr>
        <w:pStyle w:val="15"/>
        <w:jc w:val="center"/>
        <w:rPr>
          <w:rFonts w:ascii="仿宋_GB2312" w:hAnsi="仿宋_GB2312" w:eastAsia="仿宋_GB2312" w:cs="仿宋_GB2312"/>
          <w:b/>
          <w:kern w:val="0"/>
          <w:sz w:val="30"/>
          <w:szCs w:val="30"/>
        </w:rPr>
      </w:pPr>
      <w:r>
        <w:rPr>
          <w:rFonts w:hint="eastAsia" w:ascii="仿宋_GB2312" w:hAnsi="仿宋_GB2312" w:eastAsia="仿宋_GB2312" w:cs="仿宋_GB2312"/>
          <w:b/>
          <w:sz w:val="30"/>
          <w:szCs w:val="30"/>
        </w:rPr>
        <w:t>模块三任务一吊装</w:t>
      </w:r>
      <w:r>
        <w:rPr>
          <w:rFonts w:hint="eastAsia" w:ascii="仿宋_GB2312" w:hAnsi="仿宋_GB2312" w:eastAsia="仿宋_GB2312" w:cs="仿宋_GB2312"/>
          <w:b/>
          <w:kern w:val="0"/>
          <w:sz w:val="30"/>
          <w:szCs w:val="30"/>
        </w:rPr>
        <w:t>环节任务书</w:t>
      </w:r>
    </w:p>
    <w:p w14:paraId="0690B756">
      <w:pPr>
        <w:pStyle w:val="15"/>
        <w:jc w:val="right"/>
        <w:rPr>
          <w:rFonts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14:paraId="78D61DB4">
      <w:pPr>
        <w:pStyle w:val="15"/>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493E7CD3">
      <w:pPr>
        <w:pStyle w:val="15"/>
        <w:ind w:firstLine="560" w:firstLineChars="200"/>
        <w:rPr>
          <w:rFonts w:ascii="仿宋_GB2312" w:hAnsi="仿宋_GB2312" w:eastAsia="仿宋_GB2312" w:cs="仿宋_GB2312"/>
          <w:szCs w:val="28"/>
        </w:rPr>
      </w:pPr>
      <w:r>
        <w:rPr>
          <w:rFonts w:hint="eastAsia" w:ascii="仿宋_GB2312" w:hAnsi="仿宋_GB2312" w:eastAsia="仿宋_GB2312" w:cs="仿宋_GB2312"/>
          <w:szCs w:val="28"/>
        </w:rPr>
        <w:t>1、本竞赛环节为3人合作竞技项目，3人合作完成 “建筑装配式构件吊装”，分值为100分。该环节加权系数为0.</w:t>
      </w:r>
      <w:r>
        <w:rPr>
          <w:rFonts w:ascii="仿宋_GB2312" w:hAnsi="仿宋_GB2312" w:eastAsia="仿宋_GB2312" w:cs="仿宋_GB2312"/>
          <w:szCs w:val="28"/>
        </w:rPr>
        <w:t>3</w:t>
      </w:r>
      <w:r>
        <w:rPr>
          <w:rFonts w:hint="eastAsia" w:ascii="仿宋_GB2312" w:hAnsi="仿宋_GB2312" w:eastAsia="仿宋_GB2312" w:cs="仿宋_GB2312"/>
          <w:szCs w:val="28"/>
        </w:rPr>
        <w:t>.</w:t>
      </w:r>
    </w:p>
    <w:p w14:paraId="7D477CFF">
      <w:pPr>
        <w:pStyle w:val="15"/>
        <w:ind w:firstLine="560" w:firstLineChars="200"/>
        <w:rPr>
          <w:rFonts w:ascii="仿宋_GB2312" w:hAnsi="仿宋_GB2312" w:eastAsia="仿宋_GB2312" w:cs="仿宋_GB2312"/>
          <w:szCs w:val="28"/>
        </w:rPr>
      </w:pPr>
      <w:r>
        <w:rPr>
          <w:rFonts w:hint="eastAsia" w:ascii="仿宋_GB2312" w:hAnsi="仿宋_GB2312" w:eastAsia="仿宋_GB2312" w:cs="仿宋_GB2312"/>
          <w:szCs w:val="28"/>
        </w:rPr>
        <w:t>2、本竞赛环节总时长为连续90分钟。</w:t>
      </w:r>
    </w:p>
    <w:p w14:paraId="3A933461">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3、竞赛过程中请参赛选手注意赛场纪律，严格按照操作规程施工。正确佩戴 </w:t>
      </w:r>
    </w:p>
    <w:p w14:paraId="3C4D3CE3">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和使用劳保用品，安全文明施工。 </w:t>
      </w:r>
    </w:p>
    <w:p w14:paraId="7A25AD86">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4、竞赛过程中遇到意外情况，应及时向当值裁判报告，听从裁判安排，不要 </w:t>
      </w:r>
    </w:p>
    <w:p w14:paraId="127EDE73">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自行处理。</w:t>
      </w:r>
    </w:p>
    <w:p w14:paraId="2828A37E">
      <w:pPr>
        <w:widowControl/>
        <w:numPr>
          <w:ilvl w:val="0"/>
          <w:numId w:val="2"/>
        </w:numPr>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w:t>
      </w:r>
    </w:p>
    <w:p w14:paraId="3A14D7B7">
      <w:pPr>
        <w:widowControl/>
        <w:jc w:val="left"/>
        <w:rPr>
          <w:rFonts w:ascii="仿宋_GB2312" w:hAnsi="仿宋_GB2312" w:eastAsia="仿宋_GB2312" w:cs="仿宋_GB2312"/>
          <w:b/>
          <w:bCs/>
          <w:u w:val="single"/>
        </w:rPr>
      </w:pPr>
      <w:r>
        <w:rPr>
          <w:rFonts w:hint="eastAsia" w:ascii="仿宋_GB2312" w:hAnsi="仿宋_GB2312" w:eastAsia="仿宋_GB2312" w:cs="仿宋_GB2312"/>
        </w:rPr>
        <w:drawing>
          <wp:inline distT="0" distB="0" distL="114300" distR="114300">
            <wp:extent cx="6628765" cy="3491230"/>
            <wp:effectExtent l="0" t="0" r="63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rcRect l="14215" r="14513" b="6088"/>
                    <a:stretch>
                      <a:fillRect/>
                    </a:stretch>
                  </pic:blipFill>
                  <pic:spPr>
                    <a:xfrm>
                      <a:off x="0" y="0"/>
                      <a:ext cx="6628765" cy="3491230"/>
                    </a:xfrm>
                    <a:prstGeom prst="rect">
                      <a:avLst/>
                    </a:prstGeom>
                    <a:noFill/>
                    <a:ln>
                      <a:noFill/>
                    </a:ln>
                  </pic:spPr>
                </pic:pic>
              </a:graphicData>
            </a:graphic>
          </wp:inline>
        </w:drawing>
      </w:r>
    </w:p>
    <w:p w14:paraId="4CA45122">
      <w:pPr>
        <w:widowControl/>
        <w:numPr>
          <w:ilvl w:val="0"/>
          <w:numId w:val="3"/>
        </w:numPr>
        <w:jc w:val="left"/>
        <w:rPr>
          <w:rFonts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竞赛任务要求</w:t>
      </w:r>
    </w:p>
    <w:p w14:paraId="56C97465">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工位示意图中墙板材料存放区存放多块预制板材，选手按图示要求选剪力墙板按《规范》吊装并安装如下图所示，并对角柱进行模板安装。</w:t>
      </w:r>
    </w:p>
    <w:p w14:paraId="098327E1">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YNQ-01要求：砼强度C35;连接方式灌浆套筒连接；构件尺寸1000x1250x200,（长x高x厚）。</w:t>
      </w:r>
    </w:p>
    <w:p w14:paraId="079D8668">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YNQ-02要求：砼强度C35;连接方式灌浆套筒连接；构件尺寸1000x1250x200,（长x高x厚）。</w:t>
      </w:r>
    </w:p>
    <w:p w14:paraId="413A08F1">
      <w:pPr>
        <w:widowControl/>
        <w:ind w:firstLine="420" w:firstLineChars="200"/>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391275" cy="2549525"/>
            <wp:effectExtent l="0" t="0" r="9525"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rcRect t="4470" r="3158"/>
                    <a:stretch>
                      <a:fillRect/>
                    </a:stretch>
                  </pic:blipFill>
                  <pic:spPr>
                    <a:xfrm>
                      <a:off x="0" y="0"/>
                      <a:ext cx="6391275" cy="2549525"/>
                    </a:xfrm>
                    <a:prstGeom prst="rect">
                      <a:avLst/>
                    </a:prstGeom>
                    <a:noFill/>
                    <a:ln>
                      <a:noFill/>
                    </a:ln>
                  </pic:spPr>
                </pic:pic>
              </a:graphicData>
            </a:graphic>
          </wp:inline>
        </w:drawing>
      </w:r>
    </w:p>
    <w:p w14:paraId="6A75D220">
      <w:pPr>
        <w:widowControl/>
        <w:jc w:val="left"/>
        <w:rPr>
          <w:rFonts w:ascii="仿宋_GB2312" w:hAnsi="仿宋_GB2312" w:eastAsia="仿宋_GB2312" w:cs="仿宋_GB2312"/>
        </w:rPr>
      </w:pPr>
      <w:r>
        <w:rPr>
          <w:rFonts w:hint="eastAsia" w:ascii="仿宋_GB2312" w:hAnsi="仿宋_GB2312" w:eastAsia="仿宋_GB2312" w:cs="仿宋_GB2312"/>
          <w:b/>
          <w:bCs/>
          <w:color w:val="000000"/>
          <w:kern w:val="0"/>
          <w:sz w:val="28"/>
          <w:szCs w:val="28"/>
          <w:lang w:bidi="ar"/>
        </w:rPr>
        <w:t xml:space="preserve">三、竞赛注意事项 </w:t>
      </w:r>
    </w:p>
    <w:p w14:paraId="450B07E4">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1、 吊装施工前，应对已完成结构的强度、外观质量、尺寸进行检查；并应对预制构件的砼强度及预制构件和配件的型号、规格、数量等进行检查；</w:t>
      </w:r>
    </w:p>
    <w:p w14:paraId="533A8FBE">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2、吊装施工前，应清洁接合面，并进行测量放线，设置构件安装定位标识；</w:t>
      </w:r>
    </w:p>
    <w:p w14:paraId="08A944AB">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3、吊装施工前，应复核构件装配位置、节点连接构造及临时支撑方案等；</w:t>
      </w:r>
    </w:p>
    <w:p w14:paraId="60BC0306">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4、吊装施工前，应检查复核吊装设备及吊具处于安全操作状态；</w:t>
      </w:r>
    </w:p>
    <w:p w14:paraId="27CCF225">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5、预制构件安装前，构件底部应设置可调整接缝厚度和底部标高的垫块；</w:t>
      </w:r>
    </w:p>
    <w:p w14:paraId="7C723DAB">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6、吊装就位后，应及时校准并采取临时固定措施；</w:t>
      </w:r>
    </w:p>
    <w:p w14:paraId="6F0C185B">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7、选手确认提前完成、申请离场，在完成全部任务要求的前提下现场裁判确认提前完成时间量。未全部完成任务而提前离场的不计算时间提前量。</w:t>
      </w: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IDÑ˛">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3"/>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0MmRkYWZkNGUxZmE4N2NlNTY1N2QxMzkyYjdmZDE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A30E4"/>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065"/>
    <w:rsid w:val="007F1146"/>
    <w:rsid w:val="00800731"/>
    <w:rsid w:val="00812641"/>
    <w:rsid w:val="00812774"/>
    <w:rsid w:val="0081646B"/>
    <w:rsid w:val="0082167E"/>
    <w:rsid w:val="00826E87"/>
    <w:rsid w:val="0084206D"/>
    <w:rsid w:val="00850103"/>
    <w:rsid w:val="00855C79"/>
    <w:rsid w:val="00870242"/>
    <w:rsid w:val="00871E15"/>
    <w:rsid w:val="0087414F"/>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EF6ADF"/>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1DB319C"/>
    <w:rsid w:val="03DA7C95"/>
    <w:rsid w:val="04232E32"/>
    <w:rsid w:val="04DB6F0B"/>
    <w:rsid w:val="05047743"/>
    <w:rsid w:val="0683323F"/>
    <w:rsid w:val="09135F1A"/>
    <w:rsid w:val="09894E2F"/>
    <w:rsid w:val="09D24291"/>
    <w:rsid w:val="0C9B6BDE"/>
    <w:rsid w:val="0FA77F25"/>
    <w:rsid w:val="10A818CA"/>
    <w:rsid w:val="11E4072D"/>
    <w:rsid w:val="135D370D"/>
    <w:rsid w:val="158433EB"/>
    <w:rsid w:val="16784454"/>
    <w:rsid w:val="16BF11DD"/>
    <w:rsid w:val="18B773FA"/>
    <w:rsid w:val="1A25509E"/>
    <w:rsid w:val="1A554F9A"/>
    <w:rsid w:val="1A5C29C2"/>
    <w:rsid w:val="1B651DA3"/>
    <w:rsid w:val="1C645914"/>
    <w:rsid w:val="1FB1776E"/>
    <w:rsid w:val="202969ED"/>
    <w:rsid w:val="20A51A2D"/>
    <w:rsid w:val="215C64E4"/>
    <w:rsid w:val="230A5C8E"/>
    <w:rsid w:val="233C2774"/>
    <w:rsid w:val="23F81EC2"/>
    <w:rsid w:val="274E68CF"/>
    <w:rsid w:val="28B30972"/>
    <w:rsid w:val="28C26FAC"/>
    <w:rsid w:val="2BB46F1D"/>
    <w:rsid w:val="2C345BA8"/>
    <w:rsid w:val="2FA054F8"/>
    <w:rsid w:val="300703B5"/>
    <w:rsid w:val="309B0CAA"/>
    <w:rsid w:val="309D2676"/>
    <w:rsid w:val="365D1558"/>
    <w:rsid w:val="37756932"/>
    <w:rsid w:val="37BB49E2"/>
    <w:rsid w:val="38FA4476"/>
    <w:rsid w:val="39E50740"/>
    <w:rsid w:val="3C816724"/>
    <w:rsid w:val="3CC05722"/>
    <w:rsid w:val="3D866913"/>
    <w:rsid w:val="40B01861"/>
    <w:rsid w:val="415657AA"/>
    <w:rsid w:val="433A3380"/>
    <w:rsid w:val="436D36BB"/>
    <w:rsid w:val="43A20BAB"/>
    <w:rsid w:val="4714323A"/>
    <w:rsid w:val="47615D53"/>
    <w:rsid w:val="48270F31"/>
    <w:rsid w:val="4B971718"/>
    <w:rsid w:val="4BE331DB"/>
    <w:rsid w:val="4C7D65A2"/>
    <w:rsid w:val="4D517835"/>
    <w:rsid w:val="4DBB4E9D"/>
    <w:rsid w:val="4E3D039E"/>
    <w:rsid w:val="4F310779"/>
    <w:rsid w:val="526B3F2A"/>
    <w:rsid w:val="5358625C"/>
    <w:rsid w:val="53E75832"/>
    <w:rsid w:val="54CE3AA7"/>
    <w:rsid w:val="563A6F01"/>
    <w:rsid w:val="59335998"/>
    <w:rsid w:val="5B4236BA"/>
    <w:rsid w:val="5E887250"/>
    <w:rsid w:val="5F4C0F87"/>
    <w:rsid w:val="607C3FC9"/>
    <w:rsid w:val="6288430B"/>
    <w:rsid w:val="666B2E92"/>
    <w:rsid w:val="677D5B76"/>
    <w:rsid w:val="67E24A1A"/>
    <w:rsid w:val="68677928"/>
    <w:rsid w:val="6BCF0863"/>
    <w:rsid w:val="6C1D139E"/>
    <w:rsid w:val="6C5E68E0"/>
    <w:rsid w:val="6DED535A"/>
    <w:rsid w:val="6F263E64"/>
    <w:rsid w:val="70C80A99"/>
    <w:rsid w:val="74E3372B"/>
    <w:rsid w:val="788B5054"/>
    <w:rsid w:val="79736ACF"/>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4"/>
    <w:basedOn w:val="1"/>
    <w:next w:val="1"/>
    <w:qFormat/>
    <w:uiPriority w:val="9"/>
    <w:pPr>
      <w:keepNext/>
      <w:keepLines/>
      <w:numPr>
        <w:ilvl w:val="3"/>
        <w:numId w:val="1"/>
      </w:numPr>
      <w:spacing w:before="280" w:after="290"/>
      <w:outlineLvl w:val="3"/>
    </w:pPr>
    <w:rPr>
      <w:rFonts w:ascii="Arial" w:hAnsi="Arial" w:eastAsia="仿宋" w:cs="Arial"/>
      <w:b/>
      <w:snapToGrid w:val="0"/>
      <w:color w:val="000000"/>
      <w:kern w:val="0"/>
      <w:sz w:val="28"/>
      <w:szCs w:val="21"/>
    </w:rPr>
  </w:style>
  <w:style w:type="character" w:default="1" w:styleId="13">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semiHidden/>
    <w:unhideWhenUsed/>
    <w:qFormat/>
    <w:uiPriority w:val="99"/>
    <w:pPr>
      <w:jc w:val="left"/>
    </w:pPr>
  </w:style>
  <w:style w:type="paragraph" w:styleId="5">
    <w:name w:val="Balloon Text"/>
    <w:basedOn w:val="1"/>
    <w:link w:val="16"/>
    <w:semiHidden/>
    <w:unhideWhenUsed/>
    <w:qFormat/>
    <w:uiPriority w:val="99"/>
    <w:rPr>
      <w:rFonts w:ascii="宋体" w:eastAsia="宋体"/>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0"/>
    <w:unhideWhenUsed/>
    <w:qFormat/>
    <w:uiPriority w:val="99"/>
    <w:pPr>
      <w:widowControl/>
      <w:jc w:val="left"/>
    </w:pPr>
    <w:rPr>
      <w:rFonts w:cs="Times New Roman"/>
      <w:kern w:val="0"/>
      <w:sz w:val="20"/>
      <w:szCs w:val="20"/>
    </w:rPr>
  </w:style>
  <w:style w:type="paragraph" w:styleId="9">
    <w:name w:val="annotation subject"/>
    <w:basedOn w:val="4"/>
    <w:next w:val="4"/>
    <w:link w:val="23"/>
    <w:semiHidden/>
    <w:unhideWhenUsed/>
    <w:qFormat/>
    <w:uiPriority w:val="99"/>
    <w:rPr>
      <w:b/>
      <w:bCs/>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
    <w:name w:val="Light Shading Accent 1"/>
    <w:basedOn w:val="10"/>
    <w:qFormat/>
    <w:uiPriority w:val="60"/>
    <w:rPr>
      <w:color w:val="2F5597" w:themeColor="accent1" w:themeShade="BF"/>
      <w:sz w:val="22"/>
      <w:szCs w:val="22"/>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4">
    <w:name w:val="annotation reference"/>
    <w:basedOn w:val="13"/>
    <w:semiHidden/>
    <w:unhideWhenUsed/>
    <w:qFormat/>
    <w:uiPriority w:val="99"/>
    <w:rPr>
      <w:sz w:val="21"/>
      <w:szCs w:val="21"/>
    </w:rPr>
  </w:style>
  <w:style w:type="paragraph" w:customStyle="1" w:styleId="15">
    <w:name w:val="仿宋正文"/>
    <w:basedOn w:val="1"/>
    <w:qFormat/>
    <w:uiPriority w:val="0"/>
    <w:rPr>
      <w:rFonts w:ascii="仿宋" w:hAnsi="仿宋" w:eastAsia="仿宋"/>
      <w:sz w:val="28"/>
    </w:rPr>
  </w:style>
  <w:style w:type="character" w:customStyle="1" w:styleId="16">
    <w:name w:val="批注框文本 字符"/>
    <w:basedOn w:val="13"/>
    <w:link w:val="5"/>
    <w:semiHidden/>
    <w:qFormat/>
    <w:uiPriority w:val="99"/>
    <w:rPr>
      <w:rFonts w:ascii="宋体" w:eastAsia="宋体"/>
      <w:sz w:val="18"/>
      <w:szCs w:val="18"/>
    </w:rPr>
  </w:style>
  <w:style w:type="character" w:customStyle="1" w:styleId="17">
    <w:name w:val="页眉 字符"/>
    <w:basedOn w:val="13"/>
    <w:link w:val="7"/>
    <w:qFormat/>
    <w:uiPriority w:val="99"/>
    <w:rPr>
      <w:kern w:val="2"/>
      <w:sz w:val="18"/>
      <w:szCs w:val="18"/>
    </w:rPr>
  </w:style>
  <w:style w:type="character" w:customStyle="1" w:styleId="18">
    <w:name w:val="页脚 字符"/>
    <w:basedOn w:val="13"/>
    <w:link w:val="6"/>
    <w:qFormat/>
    <w:uiPriority w:val="99"/>
    <w:rPr>
      <w:kern w:val="2"/>
      <w:sz w:val="18"/>
      <w:szCs w:val="18"/>
    </w:rPr>
  </w:style>
  <w:style w:type="paragraph" w:customStyle="1" w:styleId="19">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20">
    <w:name w:val="脚注文本 字符"/>
    <w:basedOn w:val="13"/>
    <w:link w:val="8"/>
    <w:qFormat/>
    <w:uiPriority w:val="99"/>
    <w:rPr>
      <w:rFonts w:cs="Times New Roman"/>
    </w:rPr>
  </w:style>
  <w:style w:type="character" w:customStyle="1" w:styleId="21">
    <w:name w:val="不明显强调1"/>
    <w:basedOn w:val="13"/>
    <w:qFormat/>
    <w:uiPriority w:val="19"/>
    <w:rPr>
      <w:i/>
      <w:iCs/>
    </w:rPr>
  </w:style>
  <w:style w:type="character" w:customStyle="1" w:styleId="22">
    <w:name w:val="批注文字 字符"/>
    <w:basedOn w:val="13"/>
    <w:link w:val="4"/>
    <w:semiHidden/>
    <w:qFormat/>
    <w:uiPriority w:val="99"/>
    <w:rPr>
      <w:kern w:val="2"/>
      <w:sz w:val="21"/>
      <w:szCs w:val="24"/>
    </w:rPr>
  </w:style>
  <w:style w:type="character" w:customStyle="1" w:styleId="23">
    <w:name w:val="批注主题 字符"/>
    <w:basedOn w:val="22"/>
    <w:link w:val="9"/>
    <w:semiHidden/>
    <w:qFormat/>
    <w:uiPriority w:val="99"/>
    <w:rPr>
      <w:b/>
      <w:bCs/>
      <w:kern w:val="2"/>
      <w:sz w:val="21"/>
      <w:szCs w:val="24"/>
    </w:rPr>
  </w:style>
  <w:style w:type="paragraph" w:styleId="24">
    <w:name w:val="List Paragraph"/>
    <w:basedOn w:val="1"/>
    <w:qFormat/>
    <w:uiPriority w:val="99"/>
    <w:pPr>
      <w:ind w:firstLine="420" w:firstLineChars="200"/>
    </w:pPr>
  </w:style>
  <w:style w:type="character" w:customStyle="1" w:styleId="25">
    <w:name w:val="标题 1 字符"/>
    <w:basedOn w:val="13"/>
    <w:link w:val="2"/>
    <w:qFormat/>
    <w:uiPriority w:val="9"/>
    <w:rPr>
      <w:rFonts w:asciiTheme="minorHAnsi" w:hAnsiTheme="minorHAnsi" w:eastAsiaTheme="minorEastAsia" w:cstheme="minorBidi"/>
      <w:b/>
      <w:bCs/>
      <w:kern w:val="44"/>
      <w:sz w:val="44"/>
      <w:szCs w:val="44"/>
    </w:rPr>
  </w:style>
  <w:style w:type="character" w:customStyle="1" w:styleId="26">
    <w:name w:val="正文文本_"/>
    <w:basedOn w:val="13"/>
    <w:link w:val="27"/>
    <w:qFormat/>
    <w:uiPriority w:val="0"/>
    <w:rPr>
      <w:rFonts w:ascii="宋体" w:hAnsi="宋体" w:cs="宋体"/>
      <w:sz w:val="26"/>
      <w:szCs w:val="26"/>
      <w:lang w:val="zh-CN" w:bidi="zh-CN"/>
    </w:rPr>
  </w:style>
  <w:style w:type="paragraph" w:customStyle="1" w:styleId="27">
    <w:name w:val="正文文本1"/>
    <w:basedOn w:val="1"/>
    <w:link w:val="26"/>
    <w:qFormat/>
    <w:uiPriority w:val="0"/>
    <w:pPr>
      <w:spacing w:line="442" w:lineRule="auto"/>
      <w:ind w:firstLine="400"/>
      <w:jc w:val="left"/>
    </w:pPr>
    <w:rPr>
      <w:rFonts w:ascii="宋体" w:hAnsi="宋体" w:eastAsia="宋体" w:cs="宋体"/>
      <w:kern w:val="0"/>
      <w:sz w:val="26"/>
      <w:szCs w:val="26"/>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6271</Words>
  <Characters>7354</Characters>
  <Lines>66</Lines>
  <Paragraphs>18</Paragraphs>
  <TotalTime>9</TotalTime>
  <ScaleCrop>false</ScaleCrop>
  <LinksUpToDate>false</LinksUpToDate>
  <CharactersWithSpaces>7994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品味人生1393126658</cp:lastModifiedBy>
  <cp:lastPrinted>2022-01-20T07:20:00Z</cp:lastPrinted>
  <dcterms:modified xsi:type="dcterms:W3CDTF">2024-11-19T00:07:49Z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D9EB8BAD74F94FFD9DCD5BD9A2824F6B_13</vt:lpwstr>
  </property>
</Properties>
</file>