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906E5">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70FA6265">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509DA9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p>
    <w:p w14:paraId="4B7910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一、单项选择题 （共50题，每题1分，计50分）</w:t>
      </w:r>
    </w:p>
    <w:p w14:paraId="7E7D41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1.装配式钢结构建筑构件之间的连接设计应符合以下规定：抗震设计时，连接设计应符合构造要求，并应按弹塑性设计，连接的（ ）应大于构件的全塑性承载力。</w:t>
      </w:r>
    </w:p>
    <w:p w14:paraId="2658C9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A.屈服承载力</w:t>
      </w:r>
    </w:p>
    <w:p w14:paraId="372D3C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B.极限承载力</w:t>
      </w:r>
    </w:p>
    <w:p w14:paraId="5D89C4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C.抗弯承载力</w:t>
      </w:r>
    </w:p>
    <w:p w14:paraId="09470F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D.抗剪承载力</w:t>
      </w:r>
    </w:p>
    <w:p w14:paraId="0620C7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293E9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2.规费项目清单不包括下面哪项内容（  ）</w:t>
      </w:r>
    </w:p>
    <w:p w14:paraId="6F6A05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A.住房公积金</w:t>
      </w:r>
    </w:p>
    <w:p w14:paraId="51654A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B.社会保险费</w:t>
      </w:r>
    </w:p>
    <w:p w14:paraId="35F33E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C.工程排污费</w:t>
      </w:r>
    </w:p>
    <w:p w14:paraId="4FC34E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D.企业年金</w:t>
      </w:r>
    </w:p>
    <w:p w14:paraId="12B36D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7DF0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3.预制混凝土模具的侧模在满足生产需求的同时宜优先选用（）截面型式。</w:t>
      </w:r>
    </w:p>
    <w:p w14:paraId="628B75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A．槽型 </w:t>
      </w:r>
    </w:p>
    <w:p w14:paraId="1B1F4D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B．组合型</w:t>
      </w:r>
    </w:p>
    <w:p w14:paraId="1AF3F6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C．箱型</w:t>
      </w:r>
    </w:p>
    <w:p w14:paraId="1C3476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D．C字型</w:t>
      </w:r>
    </w:p>
    <w:p w14:paraId="23BB4A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32CED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D9663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4.混凝土坍落度值表达正确的是（  ）</w:t>
      </w:r>
    </w:p>
    <w:p w14:paraId="1D6B69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A.160mm</w:t>
      </w:r>
    </w:p>
    <w:p w14:paraId="3CA8B0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B.152mm</w:t>
      </w:r>
    </w:p>
    <w:p w14:paraId="2E8A9D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C.157mm</w:t>
      </w:r>
    </w:p>
    <w:p w14:paraId="16B683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D.166mm</w:t>
      </w:r>
    </w:p>
    <w:p w14:paraId="72D94E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5AF64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5.预制构件模具组装前，模具组装人员应对（ ）等进行检查，确定其是否齐全。</w:t>
      </w:r>
    </w:p>
    <w:p w14:paraId="04AEB4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A.组装场地</w:t>
      </w:r>
    </w:p>
    <w:p w14:paraId="3D43E9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B.模具配件</w:t>
      </w:r>
    </w:p>
    <w:p w14:paraId="716115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C.钢筋</w:t>
      </w:r>
    </w:p>
    <w:p w14:paraId="3483FA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D.起吊设备</w:t>
      </w:r>
    </w:p>
    <w:p w14:paraId="4625DA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543DB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6.编号为 WQ-2428的内叶墙板，其含义为（ ）。</w:t>
      </w:r>
    </w:p>
    <w:p w14:paraId="074862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A.预制内叶墙板类型为无洞口外墙，标志宽度2400mm，层高2800mm。</w:t>
      </w:r>
    </w:p>
    <w:p w14:paraId="7EE9D2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B.预制内叶墙板类型为无洞口外墙，层高2400mm，标志宽度2800mm。</w:t>
      </w:r>
    </w:p>
    <w:p w14:paraId="6B2DEC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C.预制内叶墙板类型为一个窗洞高窗台外墙，标志宽度2400mm，层高2800mm。</w:t>
      </w:r>
    </w:p>
    <w:p w14:paraId="5BE2B8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D.预制内叶墙板类型为一个窗洞矮窗台外墙，标志宽度2400mm，层高2800mm。</w:t>
      </w:r>
    </w:p>
    <w:p w14:paraId="23C96D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181AE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7.剪力墙平面布置图中，图例“</w:t>
      </w:r>
      <w:r>
        <w:rPr>
          <w:rFonts w:hint="eastAsia" w:ascii="仿宋_GB2312" w:hAnsi="仿宋_GB2312" w:eastAsia="仿宋_GB2312" w:cs="仿宋_GB2312"/>
          <w:sz w:val="28"/>
          <w:szCs w:val="28"/>
        </w:rPr>
        <w:drawing>
          <wp:inline distT="0" distB="0" distL="114300" distR="114300">
            <wp:extent cx="419100" cy="152400"/>
            <wp:effectExtent l="0" t="0" r="0" b="0"/>
            <wp:docPr id="3" name="图片 1" descr="wp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wps1"/>
                    <pic:cNvPicPr>
                      <a:picLocks noChangeAspect="1"/>
                    </pic:cNvPicPr>
                  </pic:nvPicPr>
                  <pic:blipFill>
                    <a:blip r:embed="rId4"/>
                    <a:stretch>
                      <a:fillRect/>
                    </a:stretch>
                  </pic:blipFill>
                  <pic:spPr>
                    <a:xfrm>
                      <a:off x="0" y="0"/>
                      <a:ext cx="419100" cy="152400"/>
                    </a:xfrm>
                    <a:prstGeom prst="rect">
                      <a:avLst/>
                    </a:prstGeom>
                    <a:noFill/>
                    <a:ln>
                      <a:noFill/>
                    </a:ln>
                  </pic:spPr>
                </pic:pic>
              </a:graphicData>
            </a:graphic>
          </wp:inline>
        </w:drawing>
      </w:r>
      <w:r>
        <w:rPr>
          <w:rFonts w:hint="eastAsia" w:ascii="仿宋_GB2312" w:hAnsi="仿宋_GB2312" w:eastAsia="仿宋_GB2312" w:cs="仿宋_GB2312"/>
          <w:sz w:val="28"/>
          <w:szCs w:val="28"/>
        </w:rPr>
        <w:t>”表示（ ）。</w:t>
      </w:r>
    </w:p>
    <w:p w14:paraId="67194C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A.保温层     </w:t>
      </w:r>
    </w:p>
    <w:p w14:paraId="508C00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B.预制钢筋混凝土  </w:t>
      </w:r>
    </w:p>
    <w:p w14:paraId="26042B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C.现浇钢筋混凝土墙体 </w:t>
      </w:r>
    </w:p>
    <w:p w14:paraId="090297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D.后浇段、边缘构件</w:t>
      </w:r>
    </w:p>
    <w:p w14:paraId="4389CE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C432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8.根据夹心墙板的俯视图和夹心墙板的仰视图，不可以得到内叶墙板的（ ）尺寸。</w:t>
      </w:r>
    </w:p>
    <w:p w14:paraId="39CEB0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A.吊件位置   </w:t>
      </w:r>
    </w:p>
    <w:p w14:paraId="494973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B.厚度  </w:t>
      </w:r>
    </w:p>
    <w:p w14:paraId="21E10E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C.高度  </w:t>
      </w:r>
    </w:p>
    <w:p w14:paraId="5201C0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D.长度</w:t>
      </w:r>
    </w:p>
    <w:p w14:paraId="284BEC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3BF9C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9.模具上预埋钢板、建筑幕墙用槽式预埋组件安装时，其中心线位置及平面高度差的允许偏差是（ ）㎜。 </w:t>
      </w:r>
    </w:p>
    <w:p w14:paraId="68D227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A.2，±1，    </w:t>
      </w:r>
    </w:p>
    <w:p w14:paraId="61392A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B.3，±2      </w:t>
      </w:r>
    </w:p>
    <w:p w14:paraId="6918BA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C.3，±1    </w:t>
      </w:r>
    </w:p>
    <w:p w14:paraId="74BA2A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 2</w:t>
      </w:r>
    </w:p>
    <w:p w14:paraId="24F9E0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135C0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10.灌浆套筒进厂后，抽取套筒采用与之匹配的灌浆料制作对中连接接头，进行（ ）检验。</w:t>
      </w:r>
    </w:p>
    <w:p w14:paraId="263926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A.抗压强度</w:t>
      </w:r>
    </w:p>
    <w:p w14:paraId="79856F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B.抗扭强度</w:t>
      </w:r>
    </w:p>
    <w:p w14:paraId="0F10C4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C.抗剪强度</w:t>
      </w:r>
    </w:p>
    <w:p w14:paraId="1158C1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D.抗拉强度</w:t>
      </w:r>
    </w:p>
    <w:p w14:paraId="1513B8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0888B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 钢筋及预埋件进场验收项目包括查对标牌、检查外观和（ ）检验，验收合格后方可使用。</w:t>
      </w:r>
    </w:p>
    <w:p w14:paraId="015265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A.焊接性能</w:t>
      </w:r>
    </w:p>
    <w:p w14:paraId="511442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B.化学性能</w:t>
      </w:r>
    </w:p>
    <w:p w14:paraId="11570D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C.物理性能</w:t>
      </w:r>
    </w:p>
    <w:p w14:paraId="53BC49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D.力学性能</w:t>
      </w:r>
    </w:p>
    <w:p w14:paraId="7949842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5FAF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12.配制预制墙板混凝土时，应以（ ）为准。 </w:t>
      </w:r>
    </w:p>
    <w:p w14:paraId="35D7BC3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A.实验室配合比    </w:t>
      </w:r>
    </w:p>
    <w:p w14:paraId="305D12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B.施工配合比    </w:t>
      </w:r>
    </w:p>
    <w:p w14:paraId="7DA632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C.生产配合比     </w:t>
      </w:r>
    </w:p>
    <w:p w14:paraId="6BFECD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D.厂家配合比</w:t>
      </w:r>
    </w:p>
    <w:p w14:paraId="291CC8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037B1D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13. 预制混凝土墙板的混凝土强度等级不宜低于（ ）。 </w:t>
      </w:r>
    </w:p>
    <w:p w14:paraId="03ADB8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A.C20       </w:t>
      </w:r>
    </w:p>
    <w:p w14:paraId="3A987A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B.C25        </w:t>
      </w:r>
    </w:p>
    <w:p w14:paraId="0698BB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C.C30        </w:t>
      </w:r>
    </w:p>
    <w:p w14:paraId="2C5594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D.C35</w:t>
      </w:r>
    </w:p>
    <w:p w14:paraId="6A3A0F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06627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14.吊运预制构件时，构件下方严禁站人，应待预制构件降落至距地面（  ）以内方准作业人员靠近，就位固定后方可脱钩。</w:t>
      </w:r>
    </w:p>
    <w:p w14:paraId="7A04D7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A.0.5m</w:t>
      </w:r>
    </w:p>
    <w:p w14:paraId="26CA1A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B.1m</w:t>
      </w:r>
    </w:p>
    <w:p w14:paraId="327094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C.1.5m</w:t>
      </w:r>
    </w:p>
    <w:p w14:paraId="240D76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D.2m</w:t>
      </w:r>
    </w:p>
    <w:p w14:paraId="33908D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B8C3A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 混凝土板构件蒸养制定养护制度：蒸养最高温度不超过(  )℃。 </w:t>
      </w:r>
    </w:p>
    <w:p w14:paraId="5D9F85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A.55     </w:t>
      </w:r>
    </w:p>
    <w:p w14:paraId="4BE33D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B.60     </w:t>
      </w:r>
    </w:p>
    <w:p w14:paraId="67BA6E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C.65      </w:t>
      </w:r>
    </w:p>
    <w:p w14:paraId="764037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D.70</w:t>
      </w:r>
    </w:p>
    <w:p w14:paraId="18A78C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ED17C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16.装配式结构竖向构件（柱、墙、桁架）中心线对轴线位置的允许偏差值为（ ）。</w:t>
      </w:r>
    </w:p>
    <w:p w14:paraId="759E2C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A.0mm</w:t>
      </w:r>
    </w:p>
    <w:p w14:paraId="501AFD4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B.5mm</w:t>
      </w:r>
    </w:p>
    <w:p w14:paraId="367389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C.10mm</w:t>
      </w:r>
    </w:p>
    <w:p w14:paraId="095F6B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D.15mm</w:t>
      </w:r>
    </w:p>
    <w:p w14:paraId="2C9A01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B42EA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17.平面控制网的坐标系统，应满足测区内投影长度变形不大于（ ）的要求。 </w:t>
      </w:r>
    </w:p>
    <w:p w14:paraId="411944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A.2.0cm/km</w:t>
      </w:r>
    </w:p>
    <w:p w14:paraId="016D29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B.2.5cm/km</w:t>
      </w:r>
    </w:p>
    <w:p w14:paraId="53EEF5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C.3.0cm/km</w:t>
      </w:r>
    </w:p>
    <w:p w14:paraId="113E4F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D.3.5cm/km</w:t>
      </w:r>
    </w:p>
    <w:p w14:paraId="1E75F6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E88D8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18.绿色施工是在保证质量、安全等基本要求的前提下，通过科学管理和技术进步，最大限度的节约资源，减少对环境负面影响，实现（  ）、节材、节水、节地和环境保护的建筑工程施工活动。</w:t>
      </w:r>
    </w:p>
    <w:p w14:paraId="52ED61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A.节能</w:t>
      </w:r>
    </w:p>
    <w:p w14:paraId="77BD9B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B.节电</w:t>
      </w:r>
    </w:p>
    <w:p w14:paraId="400C38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C.节油</w:t>
      </w:r>
    </w:p>
    <w:p w14:paraId="2FDE02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D.节气</w:t>
      </w:r>
    </w:p>
    <w:p w14:paraId="7322D0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99B3F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19.项目质量管理应贯穿项目管理的全过程，按（  ）、实施、检查、处置循环的工作方法进行全过程的质量控制。</w:t>
      </w:r>
    </w:p>
    <w:p w14:paraId="73E4AF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A.标准</w:t>
      </w:r>
    </w:p>
    <w:p w14:paraId="271B41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B.策划</w:t>
      </w:r>
    </w:p>
    <w:p w14:paraId="5B9DB7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C.合同</w:t>
      </w:r>
    </w:p>
    <w:p w14:paraId="4C9190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D.图纸</w:t>
      </w:r>
    </w:p>
    <w:p w14:paraId="0771E2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70107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20.悬臂结构底模及支架拆除时的混凝土强度要求，达到设计混凝土强度等级值的（  ）方可拆除。</w:t>
      </w:r>
    </w:p>
    <w:p w14:paraId="3D8D05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A.50%</w:t>
      </w:r>
    </w:p>
    <w:p w14:paraId="662BCE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B.75%</w:t>
      </w:r>
    </w:p>
    <w:p w14:paraId="39AA17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C.80%</w:t>
      </w:r>
    </w:p>
    <w:p w14:paraId="4D48A8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w:t>
      </w:r>
    </w:p>
    <w:p w14:paraId="7783F0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BADFE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21.构件起吊前，其（ ）应符合设计规定，并应将其上的模板、灰浆残渣、垃圾碎块等全部清除干净。</w:t>
      </w:r>
    </w:p>
    <w:p w14:paraId="7D0637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A.刚度</w:t>
      </w:r>
    </w:p>
    <w:p w14:paraId="728806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B.强度</w:t>
      </w:r>
    </w:p>
    <w:p w14:paraId="676BF4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C.硬度</w:t>
      </w:r>
    </w:p>
    <w:p w14:paraId="338F5E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D.稳定性</w:t>
      </w:r>
    </w:p>
    <w:p w14:paraId="1E315D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6D391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22.下列哪个符号是常用的断面图的剖切符号（ ）</w:t>
      </w:r>
    </w:p>
    <w:p w14:paraId="5D7FFF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641350" cy="342900"/>
            <wp:effectExtent l="0" t="0" r="6350" b="0"/>
            <wp:docPr id="5" name="图片 2"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wps6"/>
                    <pic:cNvPicPr>
                      <a:picLocks noChangeAspect="1"/>
                    </pic:cNvPicPr>
                  </pic:nvPicPr>
                  <pic:blipFill>
                    <a:blip r:embed="rId5"/>
                    <a:stretch>
                      <a:fillRect/>
                    </a:stretch>
                  </pic:blipFill>
                  <pic:spPr>
                    <a:xfrm>
                      <a:off x="0" y="0"/>
                      <a:ext cx="641350" cy="3429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B.</w:t>
      </w:r>
      <w:r>
        <w:rPr>
          <w:rFonts w:hint="eastAsia" w:ascii="仿宋_GB2312" w:hAnsi="仿宋_GB2312" w:eastAsia="仿宋_GB2312" w:cs="仿宋_GB2312"/>
          <w:sz w:val="28"/>
          <w:szCs w:val="28"/>
        </w:rPr>
        <w:drawing>
          <wp:inline distT="0" distB="0" distL="114300" distR="114300">
            <wp:extent cx="571500" cy="381000"/>
            <wp:effectExtent l="0" t="0" r="0" b="0"/>
            <wp:docPr id="8" name="图片 3"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wps7"/>
                    <pic:cNvPicPr>
                      <a:picLocks noChangeAspect="1"/>
                    </pic:cNvPicPr>
                  </pic:nvPicPr>
                  <pic:blipFill>
                    <a:blip r:embed="rId6"/>
                    <a:stretch>
                      <a:fillRect/>
                    </a:stretch>
                  </pic:blipFill>
                  <pic:spPr>
                    <a:xfrm>
                      <a:off x="0" y="0"/>
                      <a:ext cx="571500" cy="381000"/>
                    </a:xfrm>
                    <a:prstGeom prst="rect">
                      <a:avLst/>
                    </a:prstGeom>
                    <a:noFill/>
                    <a:ln>
                      <a:noFill/>
                    </a:ln>
                  </pic:spPr>
                </pic:pic>
              </a:graphicData>
            </a:graphic>
          </wp:inline>
        </w:drawing>
      </w:r>
    </w:p>
    <w:p w14:paraId="126F70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C.-1-1             D.2---2</w:t>
      </w:r>
    </w:p>
    <w:p w14:paraId="5839A2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61AEC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23. 当构件混凝土强度达到 (  )时，可以拆除边模。构件起吊应平稳，楼板应采用专用多点吊架进行起吊，复杂构件应采用专门的吊架进行起吊。 </w:t>
      </w:r>
    </w:p>
    <w:p w14:paraId="41F85D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A.设计强度的70%且不低于C20      </w:t>
      </w:r>
    </w:p>
    <w:p w14:paraId="701C98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B.设计强度的30%并不低于C15    </w:t>
      </w:r>
    </w:p>
    <w:p w14:paraId="1416A6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C.设计强度的大于C15，低于70%      </w:t>
      </w:r>
    </w:p>
    <w:p w14:paraId="44035D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D.以上说法都不正确</w:t>
      </w:r>
    </w:p>
    <w:p w14:paraId="501F6B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7E2C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24.竖向预制构件安装采用临时支撑时，预制构件的临时支撑不宜少于（ ）道。</w:t>
      </w:r>
    </w:p>
    <w:p w14:paraId="6372FE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A.2</w:t>
      </w:r>
    </w:p>
    <w:p w14:paraId="4D87B6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B.4</w:t>
      </w:r>
    </w:p>
    <w:p w14:paraId="6A74C8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C.5</w:t>
      </w:r>
    </w:p>
    <w:p w14:paraId="1D3F83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D.6</w:t>
      </w:r>
    </w:p>
    <w:p w14:paraId="28AC2A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FF178A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25照片中竖向控制线有何作用（ ）。</w:t>
      </w:r>
    </w:p>
    <w:p w14:paraId="1DAE2A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anchor distT="0" distB="0" distL="114300" distR="114300" simplePos="0" relativeHeight="251659264" behindDoc="0" locked="0" layoutInCell="1" allowOverlap="0">
            <wp:simplePos x="0" y="0"/>
            <wp:positionH relativeFrom="column">
              <wp:posOffset>147955</wp:posOffset>
            </wp:positionH>
            <wp:positionV relativeFrom="line">
              <wp:posOffset>133985</wp:posOffset>
            </wp:positionV>
            <wp:extent cx="1276350" cy="1104900"/>
            <wp:effectExtent l="0" t="0" r="0" b="0"/>
            <wp:wrapSquare wrapText="bothSides"/>
            <wp:docPr id="6" name="图片 2"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wps8"/>
                    <pic:cNvPicPr>
                      <a:picLocks noChangeAspect="1"/>
                    </pic:cNvPicPr>
                  </pic:nvPicPr>
                  <pic:blipFill>
                    <a:blip r:embed="rId7"/>
                    <a:stretch>
                      <a:fillRect/>
                    </a:stretch>
                  </pic:blipFill>
                  <pic:spPr>
                    <a:xfrm>
                      <a:off x="0" y="0"/>
                      <a:ext cx="1276350" cy="1104900"/>
                    </a:xfrm>
                    <a:prstGeom prst="rect">
                      <a:avLst/>
                    </a:prstGeom>
                    <a:noFill/>
                    <a:ln>
                      <a:noFill/>
                    </a:ln>
                  </pic:spPr>
                </pic:pic>
              </a:graphicData>
            </a:graphic>
          </wp:anchor>
        </w:drawing>
      </w:r>
    </w:p>
    <w:p w14:paraId="3DAD0B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291F4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4D17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C9135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9C1A6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A.控制洞口位置</w:t>
      </w:r>
    </w:p>
    <w:p w14:paraId="050E92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B.控制悬挑构件左右位置线</w:t>
      </w:r>
    </w:p>
    <w:p w14:paraId="1B1A35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C.控制墙体位置控制线</w:t>
      </w:r>
    </w:p>
    <w:p w14:paraId="5774BB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D.控制外门窗位置控制线 </w:t>
      </w:r>
    </w:p>
    <w:p w14:paraId="3450DE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D7E2B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26.装配式混凝土结构后浇混凝土施工，同一配合比的混凝土，每工作班且建筑面积不超过1000㎡应制作一组标准养护试件，同一楼层应制作不少于（ ）组标准养护试件。</w:t>
      </w:r>
    </w:p>
    <w:p w14:paraId="0C60D02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A.2</w:t>
      </w:r>
    </w:p>
    <w:p w14:paraId="791DF7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B.3</w:t>
      </w:r>
    </w:p>
    <w:p w14:paraId="0D9F79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C.4</w:t>
      </w:r>
    </w:p>
    <w:p w14:paraId="3A08A1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w:t>
      </w:r>
    </w:p>
    <w:p w14:paraId="7831FA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074F8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27.装配式混凝土结构现场安装时灌浆作业应采用（ ）从下口灌注，当浆料从上口流出后应及时封堵，必要时可设分仓进行灌浆。</w:t>
      </w:r>
    </w:p>
    <w:p w14:paraId="1271C1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A.灌浆法</w:t>
      </w:r>
    </w:p>
    <w:p w14:paraId="311CF7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B.注浆法</w:t>
      </w:r>
    </w:p>
    <w:p w14:paraId="3F4B14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C.压浆法</w:t>
      </w:r>
    </w:p>
    <w:p w14:paraId="3E5248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D.压力法</w:t>
      </w:r>
    </w:p>
    <w:p w14:paraId="75A155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4717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28.灌浆套筒长度应根据试验确定，且灌浆连接端长度不宜小于（ ）倍钢筋直径。</w:t>
      </w:r>
    </w:p>
    <w:p w14:paraId="4752DC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A.6</w:t>
      </w:r>
    </w:p>
    <w:p w14:paraId="50DAFD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B.8 </w:t>
      </w:r>
    </w:p>
    <w:p w14:paraId="7C4A23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C.10 </w:t>
      </w:r>
    </w:p>
    <w:p w14:paraId="434CA7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D.12</w:t>
      </w:r>
    </w:p>
    <w:p w14:paraId="6EB711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02E75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 预制构件验收合格后，应在明显的部位标识构件型号、生产日期、质量验收合格标志和（ ）。、</w:t>
      </w:r>
    </w:p>
    <w:p w14:paraId="1165B8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A.材料标识     </w:t>
      </w:r>
    </w:p>
    <w:p w14:paraId="065F3A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B.生产厂家    </w:t>
      </w:r>
    </w:p>
    <w:p w14:paraId="0E44EF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C.二维码     </w:t>
      </w:r>
    </w:p>
    <w:p w14:paraId="05B782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D.验收人员姓名</w:t>
      </w:r>
    </w:p>
    <w:p w14:paraId="6C0AC0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96B9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 预制构件码放储存通常可采用（ ）和竖向固定码放两种方式。</w:t>
      </w:r>
    </w:p>
    <w:p w14:paraId="784841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A.平面码放    </w:t>
      </w:r>
    </w:p>
    <w:p w14:paraId="070FA0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B.叠层码放    </w:t>
      </w:r>
    </w:p>
    <w:p w14:paraId="7D8ED2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C.插式码放    </w:t>
      </w:r>
    </w:p>
    <w:p w14:paraId="6B1E44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D.立向码放</w:t>
      </w:r>
    </w:p>
    <w:p w14:paraId="0334BA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F41D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31. 根据运输路线进行道路勘察，对于普通预制墙板，人车稀少道路平摊视线清晰的情况速度应不大于（ ）km/h。</w:t>
      </w:r>
    </w:p>
    <w:p w14:paraId="681C4D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A.15       </w:t>
      </w:r>
    </w:p>
    <w:p w14:paraId="20CBB4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B.35       </w:t>
      </w:r>
    </w:p>
    <w:p w14:paraId="41E55E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C.40      </w:t>
      </w:r>
    </w:p>
    <w:p w14:paraId="17753E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D.50</w:t>
      </w:r>
    </w:p>
    <w:p w14:paraId="07E86B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A731A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 预制构件运输大多数采用（ ），不得竖直运输。</w:t>
      </w:r>
    </w:p>
    <w:p w14:paraId="2CDAD9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A.吊运法    </w:t>
      </w:r>
    </w:p>
    <w:p w14:paraId="62DB5E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B.立运法    </w:t>
      </w:r>
    </w:p>
    <w:p w14:paraId="14D5DD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C.平运法   </w:t>
      </w:r>
    </w:p>
    <w:p w14:paraId="6B92E5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D.特殊法</w:t>
      </w:r>
    </w:p>
    <w:p w14:paraId="7D87F8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44570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33. 制叠合板进场后应堆放于地面平坦处，堆放场地应平整夯实，并（ ）堆放时底板与地面之间应有一定的空隙。</w:t>
      </w:r>
    </w:p>
    <w:p w14:paraId="57048E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A.保证地面清洁         </w:t>
      </w:r>
    </w:p>
    <w:p w14:paraId="64CF7F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B.保证足够的空间  </w:t>
      </w:r>
    </w:p>
    <w:p w14:paraId="07604C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C.设有排水措施         </w:t>
      </w:r>
    </w:p>
    <w:p w14:paraId="1464DF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D.叠加式摆放</w:t>
      </w:r>
    </w:p>
    <w:p w14:paraId="7CE72E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C00CD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34.以下叙述不正确的是(  )</w:t>
      </w:r>
    </w:p>
    <w:p w14:paraId="55EB0E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A.预制外挂墙板吊装应沿顺时针或逆时针顺序依次吊装，不得间隔吊装。</w:t>
      </w:r>
    </w:p>
    <w:p w14:paraId="35A732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B.工序检验到位，工序质量控制必须做到有可追溯性。</w:t>
      </w:r>
    </w:p>
    <w:p w14:paraId="6A4BDA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C.吊装前准备工作充分到位，做好班前安全技术交底，明确吊装顺序。</w:t>
      </w:r>
    </w:p>
    <w:p w14:paraId="7B0BAF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外挂墙板就位时对准定位线，宜一次就位，如就位偏差大于5mm，应将构件重新吊起调整，构件就位后，用靠尺、水平尺、激光水平仪等检查预制外挂墙板和板立缝的垂直度，并检查相邻两块板接缝是否平整。</w:t>
      </w:r>
    </w:p>
    <w:p w14:paraId="0A4F49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EC840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  ）要负责预制构件及其支架在施工阶段进行验算，确保施工安全。</w:t>
      </w:r>
    </w:p>
    <w:p w14:paraId="034F78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A.设计单位</w:t>
      </w:r>
    </w:p>
    <w:p w14:paraId="1AC86E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B.监理单位</w:t>
      </w:r>
    </w:p>
    <w:p w14:paraId="1634ED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C.施工单位</w:t>
      </w:r>
    </w:p>
    <w:p w14:paraId="077919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D.总承包单位</w:t>
      </w:r>
    </w:p>
    <w:p w14:paraId="4BE169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18731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36.塔吊司机在（ ）指挥下，塔吊缓缓持力，将预制外挂墙板由倾斜状态到竖直状态，当预制外挂墙板吊离存放架，快速运至预制外挂墙板安装施工层。</w:t>
      </w:r>
    </w:p>
    <w:p w14:paraId="5A839E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A.司索工</w:t>
      </w:r>
    </w:p>
    <w:p w14:paraId="066261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B.信号工</w:t>
      </w:r>
    </w:p>
    <w:p w14:paraId="07367B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C.模板工</w:t>
      </w:r>
    </w:p>
    <w:p w14:paraId="50353E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D.钢筋工</w:t>
      </w:r>
    </w:p>
    <w:p w14:paraId="25AC7E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56ED3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37.当预制外挂墙板吊运至安装位置时，根据楼面上的预制外挂墙板的定位线，将预制外挂墙板缓缓下降就位，预制外挂墙板就位时，应以（ ）为准，做到外墙面顺直，墙身垂直，缝隙一致，企口缝不得错位，防止挤压偏腔。</w:t>
      </w:r>
    </w:p>
    <w:p w14:paraId="67B22C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A.外墙中线</w:t>
      </w:r>
    </w:p>
    <w:p w14:paraId="395A84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B.外墙边线</w:t>
      </w:r>
    </w:p>
    <w:p w14:paraId="608CA1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C.外墙内边线</w:t>
      </w:r>
    </w:p>
    <w:p w14:paraId="0E1CF4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D.外墙轴线</w:t>
      </w:r>
    </w:p>
    <w:p w14:paraId="07CF8D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0613D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38.预制阳台施工流程正确的是（ ）</w:t>
      </w:r>
    </w:p>
    <w:p w14:paraId="6D802A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A.支撑体系搭设→吊具安装→安装及校正→吊运及就位→预制阳台与现浇结构节点连接→混凝土浇筑→支撑体系拆除。</w:t>
      </w:r>
    </w:p>
    <w:p w14:paraId="68DF6E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B.支撑体系搭设→吊具安装→吊运及就位→安装及校正→混凝土浇筑→预制阳台与现浇结构节点连接→支撑体系拆除。</w:t>
      </w:r>
    </w:p>
    <w:p w14:paraId="5E9DD5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C.支撑体系搭设→吊具安装→吊运及就位→安装及校正→预制阳台与现浇结构节点连接→混凝土浇筑→支撑体系拆除。</w:t>
      </w:r>
    </w:p>
    <w:p w14:paraId="680DA1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D.吊运及就位→安装及校正→吊具安装→支撑体系搭设→预制阳台与现浇结构节点连接→混凝土浇筑→支撑体系拆除。</w:t>
      </w:r>
    </w:p>
    <w:p w14:paraId="6E09D3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A0747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39.适用于抗震结构的钢筋，其钢筋实测抗拉强度与实测屈服强度之比不小于（ ）。</w:t>
      </w:r>
    </w:p>
    <w:p w14:paraId="54501A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A.1.35  </w:t>
      </w:r>
    </w:p>
    <w:p w14:paraId="20034E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B.1.25  </w:t>
      </w:r>
    </w:p>
    <w:p w14:paraId="39E42A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C.1.45  </w:t>
      </w:r>
    </w:p>
    <w:p w14:paraId="013E48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D.1.30</w:t>
      </w:r>
    </w:p>
    <w:p w14:paraId="4D6ADA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74F00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40.套筒接头一端采用灌浆方式连接，另一端采用非灌浆方式（通常采用螺纹连接）连接钢筋，这种灌浆套筒为（ ）。</w:t>
      </w:r>
    </w:p>
    <w:p w14:paraId="4CD808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16D041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E6D1D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4B2295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08E028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A884F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41.镦粗直螺纹灌浆套筒的结构形式分类代号为（ ）。</w:t>
      </w:r>
    </w:p>
    <w:p w14:paraId="7A6E17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A.G      </w:t>
      </w:r>
    </w:p>
    <w:p w14:paraId="6C99A6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B.D     </w:t>
      </w:r>
    </w:p>
    <w:p w14:paraId="5D9986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C.B       </w:t>
      </w:r>
    </w:p>
    <w:p w14:paraId="65D1DE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D.Q</w:t>
      </w:r>
    </w:p>
    <w:p w14:paraId="3F4F65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3EB23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42.灌浆料抗压强度试验的试件尺寸为(  )。</w:t>
      </w:r>
    </w:p>
    <w:p w14:paraId="4EB195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A.40mm×40mm×160mm            </w:t>
      </w:r>
    </w:p>
    <w:p w14:paraId="0DD41B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B.150 mm×150 mm×150mm</w:t>
      </w:r>
    </w:p>
    <w:p w14:paraId="1D3F0C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C.70.7 mm×70.7 mm×70.7 mm    </w:t>
      </w:r>
    </w:p>
    <w:p w14:paraId="16C557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D.100mm×100mm×100mm</w:t>
      </w:r>
    </w:p>
    <w:p w14:paraId="2BAD48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1C67F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43.安装预制墙板、预制柱等竖向构件时，应采用可调（ ）临时固定；支撑的位置应避免与模板支架、相邻支撑冲突。</w:t>
      </w:r>
    </w:p>
    <w:p w14:paraId="270415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A.横支撑</w:t>
      </w:r>
    </w:p>
    <w:p w14:paraId="62C8D0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B.竖支撑</w:t>
      </w:r>
    </w:p>
    <w:p w14:paraId="4CFA58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C.斜支撑</w:t>
      </w:r>
    </w:p>
    <w:p w14:paraId="3B244C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D.剪刀撑</w:t>
      </w:r>
    </w:p>
    <w:p w14:paraId="7A92E4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04E42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44.叠合构件上一层混凝土剪力墙吊装施工，应在剪力墙锚固的叠合构件后浇层混凝土达到(  )后进行。</w:t>
      </w:r>
    </w:p>
    <w:p w14:paraId="054AEC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A.1.2MPa        </w:t>
      </w:r>
    </w:p>
    <w:p w14:paraId="2666DE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B.2.5MPa        </w:t>
      </w:r>
    </w:p>
    <w:p w14:paraId="53748D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C.设计强度的30%     </w:t>
      </w:r>
    </w:p>
    <w:p w14:paraId="395437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D.足够强度</w:t>
      </w:r>
    </w:p>
    <w:p w14:paraId="6ECF61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E13A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45.下图中柔性垫片的作用表述不正确的（  ）</w:t>
      </w:r>
    </w:p>
    <w:p w14:paraId="6F989D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1314450" cy="787400"/>
            <wp:effectExtent l="0" t="0" r="0" b="12700"/>
            <wp:docPr id="7" name="图片 4" descr="wps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wps14"/>
                    <pic:cNvPicPr>
                      <a:picLocks noChangeAspect="1"/>
                    </pic:cNvPicPr>
                  </pic:nvPicPr>
                  <pic:blipFill>
                    <a:blip r:embed="rId8"/>
                    <a:stretch>
                      <a:fillRect/>
                    </a:stretch>
                  </pic:blipFill>
                  <pic:spPr>
                    <a:xfrm>
                      <a:off x="0" y="0"/>
                      <a:ext cx="1314450" cy="787400"/>
                    </a:xfrm>
                    <a:prstGeom prst="rect">
                      <a:avLst/>
                    </a:prstGeom>
                    <a:noFill/>
                    <a:ln>
                      <a:noFill/>
                    </a:ln>
                  </pic:spPr>
                </pic:pic>
              </a:graphicData>
            </a:graphic>
          </wp:inline>
        </w:drawing>
      </w:r>
    </w:p>
    <w:p w14:paraId="4CD7E8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A、不起作用</w:t>
      </w:r>
    </w:p>
    <w:p w14:paraId="1205C3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B、防止坐浆料进入灌浆套筒内部</w:t>
      </w:r>
    </w:p>
    <w:p w14:paraId="022849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C、防止灌浆料流出套筒</w:t>
      </w:r>
    </w:p>
    <w:p w14:paraId="5E96BA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D、确保套筒内部浆料的饱满度</w:t>
      </w:r>
    </w:p>
    <w:p w14:paraId="578A79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6628C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46.预制板安装完毕后，其底面标高用（ ）检查。</w:t>
      </w:r>
    </w:p>
    <w:p w14:paraId="3DC4E0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A.经纬仪  </w:t>
      </w:r>
    </w:p>
    <w:p w14:paraId="44D8D8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B.水准仪  </w:t>
      </w:r>
    </w:p>
    <w:p w14:paraId="4E0491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C.垂线  </w:t>
      </w:r>
    </w:p>
    <w:p w14:paraId="2041F4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D.塞尺</w:t>
      </w:r>
    </w:p>
    <w:p w14:paraId="1D449F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CB295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47.灌浆料在标准温度和湿度条件下，初始流动度要求为（ ）mm。</w:t>
      </w:r>
    </w:p>
    <w:p w14:paraId="1A23BA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A.≥260    </w:t>
      </w:r>
    </w:p>
    <w:p w14:paraId="67B884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B.≥300    </w:t>
      </w:r>
    </w:p>
    <w:p w14:paraId="2CBAFF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C.≥360   </w:t>
      </w:r>
    </w:p>
    <w:p w14:paraId="1CE823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D.≥160</w:t>
      </w:r>
    </w:p>
    <w:p w14:paraId="109825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7DF51F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48.预制构件模具组装完毕后，检测对角线差允许偏差为（ ）。</w:t>
      </w:r>
    </w:p>
    <w:p w14:paraId="0D57FB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A.1mm</w:t>
      </w:r>
    </w:p>
    <w:p w14:paraId="035EBC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B.2mm</w:t>
      </w:r>
    </w:p>
    <w:p w14:paraId="648154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C.3mm</w:t>
      </w:r>
    </w:p>
    <w:p w14:paraId="5098DA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D.4mm</w:t>
      </w:r>
    </w:p>
    <w:p w14:paraId="13140E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37701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49.编号为WQCA-3028-1518外墙，其含义为（ ）。</w:t>
      </w:r>
    </w:p>
    <w:p w14:paraId="07888D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A.预制墙板类型为带一窗洞（高窗台）外墙，标志宽度3000mm，层高2800mm，窗宽1500mm，窗高1800mm。</w:t>
      </w:r>
    </w:p>
    <w:p w14:paraId="1CB711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B.预制墙板类型为带一窗洞（高窗台）外墙，层高3000mm，标志宽度2800mm，窗高1500mm，窗宽1800mm。</w:t>
      </w:r>
    </w:p>
    <w:p w14:paraId="3621A1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C.预制墙板类型为带一窗洞（矮窗台）外墙，标志宽度3000mm，层高2800mm，窗宽1500mm，窗高1800mm。</w:t>
      </w:r>
    </w:p>
    <w:p w14:paraId="432F5D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D.预制墙板类型为带一窗洞（矮窗台）外墙，层高3000mm，标志宽度2800mm，窗高1500mm，窗宽1800mm。</w:t>
      </w:r>
    </w:p>
    <w:p w14:paraId="0B1D5B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04295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50..采用灌浆套筒连接、浆锚搭接连接的夹心保温外墙板应在保温材料部位采用（ ）进行封堵。</w:t>
      </w:r>
    </w:p>
    <w:p w14:paraId="15691F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A.座浆料</w:t>
      </w:r>
    </w:p>
    <w:p w14:paraId="7CE292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B.灌浆料</w:t>
      </w:r>
    </w:p>
    <w:p w14:paraId="1B29BC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C.保温材料</w:t>
      </w:r>
    </w:p>
    <w:p w14:paraId="2B1E3E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D.弹性密封材料</w:t>
      </w:r>
    </w:p>
    <w:p w14:paraId="425310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p>
    <w:p w14:paraId="079D7D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3FE853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1.预制剪力墙编号由（ ）组成。</w:t>
      </w:r>
    </w:p>
    <w:p w14:paraId="4EE053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A.墙板代号</w:t>
      </w:r>
    </w:p>
    <w:p w14:paraId="0F0320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B.序号</w:t>
      </w:r>
    </w:p>
    <w:p w14:paraId="05F61D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C.层高</w:t>
      </w:r>
    </w:p>
    <w:p w14:paraId="4DCB89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D.窗宽</w:t>
      </w:r>
    </w:p>
    <w:p w14:paraId="146D31E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E.窗高</w:t>
      </w:r>
    </w:p>
    <w:p w14:paraId="3C210B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AC4A1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2.普通混凝土配合比设计的基本要求为（ ）。</w:t>
      </w:r>
    </w:p>
    <w:p w14:paraId="446323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A.满足强度要求</w:t>
      </w:r>
    </w:p>
    <w:p w14:paraId="2A474D5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B.满足混凝土抗裂要求</w:t>
      </w:r>
    </w:p>
    <w:p w14:paraId="0C6E6D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C.满足和易性要求</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D.满足耐久性要求 </w:t>
      </w:r>
    </w:p>
    <w:p w14:paraId="035973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E.降低成本</w:t>
      </w:r>
    </w:p>
    <w:p w14:paraId="19ACB8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240BC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3.下列关于叠合楼盖平面布置图的描述正确的是（ ）。</w:t>
      </w:r>
    </w:p>
    <w:p w14:paraId="588528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A.叠合楼盖平面布置图主要包括预制底板平面布置图、现浇层配筋图、水平后浇带或圈梁布置图。</w:t>
      </w:r>
    </w:p>
    <w:p w14:paraId="075F20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B.所有叠合板板块应逐一编号，相同编号的板块可择其一做集中标注，其他仅注写置于圆圈内的板编号。</w:t>
      </w:r>
    </w:p>
    <w:p w14:paraId="677509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C.预制底板平面布置图中只需要标注叠合板编号、预制底板编号。</w:t>
      </w:r>
    </w:p>
    <w:p w14:paraId="100200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D.预制底板为单向板时，需标注板边调节缝和定位；预制底板为双向板时还应标注接缝尺分和定位。</w:t>
      </w:r>
    </w:p>
    <w:p w14:paraId="37CACA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E.当板面标高不同时，标注底板标高高差，下降为负（—）。</w:t>
      </w:r>
    </w:p>
    <w:p w14:paraId="79D0F1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FC9EB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4.根据标准图集《预制混凝土剪力墙外墙板》（15G365-1）中夹心墙板模板图中的主视图，可知墙板的哪些相关尺寸（ ）。</w:t>
      </w:r>
    </w:p>
    <w:p w14:paraId="605AEF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A.墙板长度</w:t>
      </w:r>
    </w:p>
    <w:p w14:paraId="1B974F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B.墙板高度</w:t>
      </w:r>
    </w:p>
    <w:p w14:paraId="16D178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C.窗孔的长和宽度</w:t>
      </w:r>
    </w:p>
    <w:p w14:paraId="7CF77E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D.墙板厚度  </w:t>
      </w:r>
    </w:p>
    <w:p w14:paraId="3DB96D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E.窗孔四边距离墙板间的尺寸</w:t>
      </w:r>
    </w:p>
    <w:p w14:paraId="0DA586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21DA8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5.叠合板模具的边模可分为固定式边模和（  ）。</w:t>
      </w:r>
    </w:p>
    <w:p w14:paraId="66CC00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A.钢板边模</w:t>
      </w:r>
    </w:p>
    <w:p w14:paraId="3B3A49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B.橡胶边摸</w:t>
      </w:r>
    </w:p>
    <w:p w14:paraId="4618A6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C.通长边模       </w:t>
      </w:r>
    </w:p>
    <w:p w14:paraId="3ACA2A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D.角钢边模     </w:t>
      </w:r>
    </w:p>
    <w:p w14:paraId="78D0F3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E.槽钢边模</w:t>
      </w:r>
    </w:p>
    <w:p w14:paraId="03162B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4A012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6.预制构件可水平运输和码放的有：（  ）。</w:t>
      </w:r>
    </w:p>
    <w:p w14:paraId="0BFEAF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A.水平叠合楼板     </w:t>
      </w:r>
    </w:p>
    <w:p w14:paraId="449034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B.楼梯     </w:t>
      </w:r>
    </w:p>
    <w:p w14:paraId="6B3643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C.阳台板      </w:t>
      </w:r>
    </w:p>
    <w:p w14:paraId="1BD435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D.梁     </w:t>
      </w:r>
    </w:p>
    <w:p w14:paraId="3718B0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E.玻璃</w:t>
      </w:r>
    </w:p>
    <w:p w14:paraId="492AC1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44A2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7.模具在验收时，除了外型尺寸和平整度外，还应重点检查模具的（  ）系统。</w:t>
      </w:r>
    </w:p>
    <w:p w14:paraId="4C19B6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A.整齐     </w:t>
      </w:r>
    </w:p>
    <w:p w14:paraId="11889A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B.定位    </w:t>
      </w:r>
    </w:p>
    <w:p w14:paraId="409031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C.清洁     </w:t>
      </w:r>
    </w:p>
    <w:p w14:paraId="76BC64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D.连接     </w:t>
      </w:r>
    </w:p>
    <w:p w14:paraId="34757A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E.牢固</w:t>
      </w:r>
    </w:p>
    <w:p w14:paraId="19F6C2A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9669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8.采用套筒灌浆连接时，应满足以下要求(  )。</w:t>
      </w:r>
    </w:p>
    <w:p w14:paraId="674B85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A.套筒抗拉承载力应不小于连接筋抗拉承载力；</w:t>
      </w:r>
    </w:p>
    <w:p w14:paraId="57543F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B.套筒浆锚连接筋可不另设，由下柱或者墙片的纵向受力筋直接外伸形成；</w:t>
      </w:r>
    </w:p>
    <w:p w14:paraId="5619A7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C.连接筋间距不宜小于5d，套筒净距不应小于20mm。连接筋与套筒位置应完全对应，误差不得大于5mm；</w:t>
      </w:r>
    </w:p>
    <w:p w14:paraId="31428D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D.套筒长度由砂浆与连接筋的握裹能力而定，要求握裹承载力不小于连接筋抗拉承载力；</w:t>
      </w:r>
    </w:p>
    <w:p w14:paraId="61462E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E.连接筋插入套筒后压力灌浆，待浆液充满全部套筒后，停止灌浆，静养7天。</w:t>
      </w:r>
    </w:p>
    <w:p w14:paraId="5C63DD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E2470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9.桁架钢筋混凝土叠合板应满足下列要求（  ）。</w:t>
      </w:r>
    </w:p>
    <w:p w14:paraId="56EC6A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A.桁架钢筋应沿主要受力方向布置；</w:t>
      </w:r>
    </w:p>
    <w:p w14:paraId="46C877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B.桁架钢筋距板边不应大于300mm，间距不宜大于600mm；</w:t>
      </w:r>
    </w:p>
    <w:p w14:paraId="138A5C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C.桁架钢筋弦杆钢筋直径不宜小于8mm，腹杆钢筋直径不应小于4mm；</w:t>
      </w:r>
    </w:p>
    <w:p w14:paraId="3DFBF2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D.桁架钢筋弦杆混凝土保护层厚度不应小于15mm；</w:t>
      </w:r>
    </w:p>
    <w:p w14:paraId="059E02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E.桁架钢筋弦杆钢筋直径不宜小于8mm，腹杆钢筋直径不应小于6mm。</w:t>
      </w:r>
    </w:p>
    <w:p w14:paraId="19DA8C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051E32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10.预制墙板的混凝土制作准备工作，水泥进场时必须对（  ）进行检查。</w:t>
      </w:r>
    </w:p>
    <w:p w14:paraId="1083B0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A.出厂合格证和试验报告单</w:t>
      </w:r>
    </w:p>
    <w:p w14:paraId="270694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B.出厂合格证或试验报告单</w:t>
      </w:r>
    </w:p>
    <w:p w14:paraId="42707D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C.水泥品种、级别、包装</w:t>
      </w:r>
    </w:p>
    <w:p w14:paraId="70965B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D.散装水泥的仓号、出厂日期</w:t>
      </w:r>
    </w:p>
    <w:p w14:paraId="533811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E.散装水泥的仓号、出仓日期</w:t>
      </w:r>
    </w:p>
    <w:p w14:paraId="291668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BAF32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11.预制构件混凝土外加剂应按不同（  ）分别存放，并有防止沉淀等措施。</w:t>
      </w:r>
    </w:p>
    <w:p w14:paraId="6B3C82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A.品种         </w:t>
      </w:r>
    </w:p>
    <w:p w14:paraId="0B6BBE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B.型号          </w:t>
      </w:r>
    </w:p>
    <w:p w14:paraId="3F70F7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C.日期        </w:t>
      </w:r>
    </w:p>
    <w:p w14:paraId="6BE22D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D.企业        </w:t>
      </w:r>
    </w:p>
    <w:p w14:paraId="5EE671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E炉号</w:t>
      </w:r>
    </w:p>
    <w:p w14:paraId="49ABCD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12.蒸养的过程可分为(  )等阶段。</w:t>
      </w:r>
    </w:p>
    <w:p w14:paraId="5EEB54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A.保温      </w:t>
      </w:r>
    </w:p>
    <w:p w14:paraId="05289B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B.降温     </w:t>
      </w:r>
    </w:p>
    <w:p w14:paraId="01D1D2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C.静停     </w:t>
      </w:r>
    </w:p>
    <w:p w14:paraId="698999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D.升温   </w:t>
      </w:r>
    </w:p>
    <w:p w14:paraId="5EC103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E.恒温</w:t>
      </w:r>
    </w:p>
    <w:p w14:paraId="2DBCBB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C7C7A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13.半灌浆套筒连接钢筋的直螺纹丝头加工(  )。</w:t>
      </w:r>
    </w:p>
    <w:p w14:paraId="0E61B2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A.丝头参数应满足厂家提供的作业指导书规定要求；</w:t>
      </w:r>
    </w:p>
    <w:p w14:paraId="54FDA0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B.使用螺纹环规检查钢筋丝头螺纹直径；</w:t>
      </w:r>
    </w:p>
    <w:p w14:paraId="211259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C.环规通端丝头应能顺利旋入，止端丝头旋入量不能超过3P（P为丝头螺距）；</w:t>
      </w:r>
    </w:p>
    <w:p w14:paraId="5805CA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D.目测丝头牙型，不完整牙累计不得超过2圈。 </w:t>
      </w:r>
    </w:p>
    <w:p w14:paraId="713106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E.操作者80%自检，合格的报验，不合格的切掉重新加工。 </w:t>
      </w:r>
    </w:p>
    <w:p w14:paraId="00E00A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F7D5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14.构件存放应符合下列要求（  ）。</w:t>
      </w:r>
    </w:p>
    <w:p w14:paraId="17BD22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A.外墙板、内墙板、楼梯宜采用托架立放，上部两点支撑，码放不宜超过6块;</w:t>
      </w:r>
    </w:p>
    <w:p w14:paraId="4DCFAF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存放过程中，预制混凝土构件与地面或刚性搁置点之间应设置柔性垫片，预埋吊环宜向上，标识向外，垫木位置宜与脱模冲刷、吊装时起吊位置一致；叠放构件的垫木应在同一直线上并上下垂直；垫木的长、宽、高均不宜小于100mm。</w:t>
      </w:r>
    </w:p>
    <w:p w14:paraId="338E11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C.柱、梁等细长构件存储宜平放，采用两条垫木支撑；码放高度应由构件、垫木承载力及堆垛稳定性确定，不宜超过4层；</w:t>
      </w:r>
    </w:p>
    <w:p w14:paraId="6C3F14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D.叠合板、阳台板构件存储宜平放，叠放不宜超过6层；</w:t>
      </w:r>
    </w:p>
    <w:p w14:paraId="4B0562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0" w:name="page72"/>
      <w:bookmarkEnd w:id="0"/>
      <w:r>
        <w:rPr>
          <w:rFonts w:hint="eastAsia" w:ascii="仿宋_GB2312" w:hAnsi="仿宋_GB2312" w:eastAsia="仿宋_GB2312" w:cs="仿宋_GB2312"/>
          <w:sz w:val="28"/>
          <w:szCs w:val="28"/>
        </w:rPr>
        <w:t xml:space="preserve">E.堆放时间不宜超过两个月。  </w:t>
      </w:r>
    </w:p>
    <w:p w14:paraId="289C23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913F7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15.混凝土结构预制构件的堆放应符合（ ）规定。</w:t>
      </w:r>
    </w:p>
    <w:p w14:paraId="5DFF75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A.构件堆放场地应压实平整，周围应设排水沟；</w:t>
      </w:r>
    </w:p>
    <w:p w14:paraId="2C3E75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B.构件应按设计支承位置堆放平稳，底部应设置垫木；</w:t>
      </w:r>
    </w:p>
    <w:p w14:paraId="733312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C.重叠堆放的构件应采用垫木隔开，上下垫木应在同一垂线上，堆放高度梁、柱不宜超过2层，堆垛间应留2m宽的通道；</w:t>
      </w:r>
    </w:p>
    <w:p w14:paraId="0956CC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D.装配式大板应采用插放法或背靠法堆放，堆放架应经设计计算确定。</w:t>
      </w:r>
    </w:p>
    <w:p w14:paraId="61E64F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B7368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三、判断题（共20题，每题1分，计20分）</w:t>
      </w:r>
    </w:p>
    <w:p w14:paraId="756DD1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1.根据装配式混凝土建筑施工安全标准,装配式混凝土建筑施工因执行国家地方新行业和企业标准的安全生产法规和规章制度落实安全生产责任制。(  )</w:t>
      </w:r>
    </w:p>
    <w:p w14:paraId="11098D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2.施工安全保证措施包括:组织保障措施、技术措施、文明施工等。(  )</w:t>
      </w:r>
    </w:p>
    <w:p w14:paraId="367929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3.建筑的部件之间、部件与设备之间的连接宜采用特殊化接口。(  )</w:t>
      </w:r>
    </w:p>
    <w:p w14:paraId="614B10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4.外挂墙板的连接节点及缝隙构造应符合设计要求；墙板安装完成，应及时移除临时支承支座、墙板接缝内的传力垫块。(  )</w:t>
      </w:r>
    </w:p>
    <w:p w14:paraId="17CEFF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5.预制混凝土楼梯与支承构件之间宜采用固定端连接。(  )</w:t>
      </w:r>
    </w:p>
    <w:p w14:paraId="7B308C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6.预制构件与后浇混凝土的结合面或叠合面应按设计要求制成粗糙面和键槽。(  )</w:t>
      </w:r>
    </w:p>
    <w:p w14:paraId="109CA7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7.预制构件安装尺寸的允许偏差表中，墙板长度的允许偏差为+5，-5mm。(  )</w:t>
      </w:r>
    </w:p>
    <w:p w14:paraId="64CA87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8.装配式混凝土建筑技术标准GB/T51231-2016中吊装作业安全规定遇到雨、雪、雾天气，或者风力大于6级时，不得进行吊装作业。(  )</w:t>
      </w:r>
    </w:p>
    <w:p w14:paraId="48B6FD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9.吊车梁校正的内容包括中心线对定位轴线的位移、标高、垂直高度。(  )</w:t>
      </w:r>
    </w:p>
    <w:p w14:paraId="2F16E3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10.水平角观测的方法有测回法、方向观测法和全圆观测法三种形式。（  ）</w:t>
      </w:r>
    </w:p>
    <w:p w14:paraId="1C3097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11.预制装配整体式结构通常采用柔性连接技术。(  )</w:t>
      </w:r>
    </w:p>
    <w:p w14:paraId="0F200B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12.水平构件吊装应采用慢起、快升、缓放的操作方式。(  )</w:t>
      </w:r>
    </w:p>
    <w:p w14:paraId="5B60E4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13.预制墙板与吊具的分离应在校准定位及临时支撑安装前完进行。(  )</w:t>
      </w:r>
    </w:p>
    <w:p w14:paraId="2F3363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14.通过套筒灌浆连接的连接钢筋可在预制剪力墙中通长设置。(  )</w:t>
      </w:r>
    </w:p>
    <w:p w14:paraId="61754F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15.安装整块柱模板时，可将其支在柱子钢筋上代替临时支撑。(  )</w:t>
      </w:r>
    </w:p>
    <w:p w14:paraId="6C77A2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16.套筒灌浆连接的钢筋应采用光圆钢筋，钢筋直径不宜小于12mm，且不宜大于 40mm。(  )</w:t>
      </w:r>
    </w:p>
    <w:p w14:paraId="44ABF4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17.预制构件生产的质量检验应按模具、钢筋、混凝土、预应力、预制构件等检验进行。（  ）</w:t>
      </w:r>
    </w:p>
    <w:p w14:paraId="13D733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18.在三角高程测量、GPS高程测量、水准高程测量中，精度最高的是水准测量。(  )</w:t>
      </w:r>
    </w:p>
    <w:p w14:paraId="41D3D9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19.钢筋套筒连接接头的屈服强度不应小于连接钢筋屈服强度标准值。（  ）</w:t>
      </w:r>
    </w:p>
    <w:p w14:paraId="774D24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20.灌浆作业环境需要确认提前分仓、提前密封保证座浆层两端的密封性。(  )</w:t>
      </w:r>
    </w:p>
    <w:p w14:paraId="657D2F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E997F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1C95B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CB10C3">
      <w:pPr>
        <w:pStyle w:val="14"/>
        <w:rPr>
          <w:rFonts w:ascii="仿宋_GB2312" w:hAnsi="仿宋_GB2312" w:eastAsia="仿宋_GB2312" w:cs="仿宋_GB2312"/>
          <w:b/>
          <w:sz w:val="30"/>
          <w:szCs w:val="30"/>
        </w:rPr>
      </w:pPr>
    </w:p>
    <w:p w14:paraId="4D4ED411">
      <w:pPr>
        <w:pStyle w:val="14"/>
        <w:jc w:val="center"/>
        <w:rPr>
          <w:rFonts w:ascii="仿宋_GB2312" w:hAnsi="仿宋_GB2312" w:eastAsia="仿宋_GB2312" w:cs="仿宋_GB2312"/>
          <w:b/>
          <w:sz w:val="30"/>
          <w:szCs w:val="30"/>
        </w:rPr>
      </w:pPr>
    </w:p>
    <w:p w14:paraId="642A7819">
      <w:pPr>
        <w:pStyle w:val="14"/>
        <w:jc w:val="center"/>
        <w:rPr>
          <w:rFonts w:ascii="仿宋_GB2312" w:hAnsi="仿宋_GB2312" w:eastAsia="仿宋_GB2312" w:cs="仿宋_GB2312"/>
          <w:b/>
          <w:sz w:val="30"/>
          <w:szCs w:val="30"/>
        </w:rPr>
      </w:pPr>
    </w:p>
    <w:p w14:paraId="4C4E54D0">
      <w:pPr>
        <w:pStyle w:val="14"/>
        <w:jc w:val="center"/>
        <w:rPr>
          <w:rFonts w:ascii="仿宋_GB2312" w:hAnsi="仿宋_GB2312" w:eastAsia="仿宋_GB2312" w:cs="仿宋_GB2312"/>
          <w:b/>
          <w:sz w:val="30"/>
          <w:szCs w:val="30"/>
        </w:rPr>
      </w:pPr>
    </w:p>
    <w:p w14:paraId="74188175">
      <w:pPr>
        <w:pStyle w:val="14"/>
        <w:jc w:val="center"/>
        <w:rPr>
          <w:rFonts w:ascii="仿宋_GB2312" w:hAnsi="仿宋_GB2312" w:eastAsia="仿宋_GB2312" w:cs="仿宋_GB2312"/>
          <w:b/>
          <w:sz w:val="30"/>
          <w:szCs w:val="30"/>
        </w:rPr>
      </w:pPr>
    </w:p>
    <w:p w14:paraId="6B2B53CC">
      <w:pPr>
        <w:pStyle w:val="14"/>
        <w:jc w:val="center"/>
        <w:rPr>
          <w:rFonts w:ascii="仿宋_GB2312" w:hAnsi="仿宋_GB2312" w:eastAsia="仿宋_GB2312" w:cs="仿宋_GB2312"/>
          <w:b/>
          <w:sz w:val="30"/>
          <w:szCs w:val="30"/>
        </w:rPr>
      </w:pPr>
    </w:p>
    <w:p w14:paraId="783AA155">
      <w:pPr>
        <w:pStyle w:val="14"/>
        <w:jc w:val="center"/>
        <w:rPr>
          <w:rFonts w:ascii="仿宋_GB2312" w:hAnsi="仿宋_GB2312" w:eastAsia="仿宋_GB2312" w:cs="仿宋_GB2312"/>
          <w:b/>
          <w:sz w:val="30"/>
          <w:szCs w:val="30"/>
        </w:rPr>
      </w:pPr>
    </w:p>
    <w:p w14:paraId="7C4C2D31">
      <w:pPr>
        <w:pStyle w:val="14"/>
        <w:jc w:val="center"/>
        <w:rPr>
          <w:rFonts w:ascii="仿宋_GB2312" w:hAnsi="仿宋_GB2312" w:eastAsia="仿宋_GB2312" w:cs="仿宋_GB2312"/>
          <w:b/>
          <w:sz w:val="30"/>
          <w:szCs w:val="30"/>
        </w:rPr>
      </w:pPr>
    </w:p>
    <w:p w14:paraId="116E9F9F">
      <w:pPr>
        <w:pStyle w:val="14"/>
        <w:jc w:val="center"/>
        <w:rPr>
          <w:rFonts w:ascii="仿宋_GB2312" w:hAnsi="仿宋_GB2312" w:eastAsia="仿宋_GB2312" w:cs="仿宋_GB2312"/>
          <w:b/>
          <w:sz w:val="30"/>
          <w:szCs w:val="30"/>
        </w:rPr>
      </w:pPr>
    </w:p>
    <w:p w14:paraId="5BEE631D">
      <w:pPr>
        <w:pStyle w:val="14"/>
        <w:jc w:val="center"/>
        <w:rPr>
          <w:rFonts w:ascii="仿宋_GB2312" w:hAnsi="仿宋_GB2312" w:eastAsia="仿宋_GB2312" w:cs="仿宋_GB2312"/>
          <w:b/>
          <w:sz w:val="30"/>
          <w:szCs w:val="30"/>
        </w:rPr>
      </w:pPr>
    </w:p>
    <w:p w14:paraId="635D2CE5">
      <w:pPr>
        <w:pStyle w:val="14"/>
        <w:jc w:val="center"/>
        <w:rPr>
          <w:rFonts w:ascii="仿宋_GB2312" w:hAnsi="仿宋_GB2312" w:eastAsia="仿宋_GB2312" w:cs="仿宋_GB2312"/>
          <w:b/>
          <w:sz w:val="30"/>
          <w:szCs w:val="30"/>
        </w:rPr>
      </w:pPr>
    </w:p>
    <w:p w14:paraId="08903379">
      <w:pPr>
        <w:pStyle w:val="14"/>
        <w:jc w:val="center"/>
        <w:rPr>
          <w:rFonts w:ascii="仿宋_GB2312" w:hAnsi="仿宋_GB2312" w:eastAsia="仿宋_GB2312" w:cs="仿宋_GB2312"/>
          <w:b/>
          <w:sz w:val="30"/>
          <w:szCs w:val="30"/>
        </w:rPr>
      </w:pPr>
    </w:p>
    <w:p w14:paraId="1F135A1D">
      <w:pPr>
        <w:pStyle w:val="14"/>
        <w:jc w:val="center"/>
        <w:rPr>
          <w:rFonts w:ascii="仿宋_GB2312" w:hAnsi="仿宋_GB2312" w:eastAsia="仿宋_GB2312" w:cs="仿宋_GB2312"/>
          <w:b/>
          <w:sz w:val="30"/>
          <w:szCs w:val="30"/>
        </w:rPr>
      </w:pPr>
    </w:p>
    <w:p w14:paraId="4474C401">
      <w:pPr>
        <w:pStyle w:val="14"/>
        <w:jc w:val="center"/>
        <w:rPr>
          <w:rFonts w:ascii="仿宋_GB2312" w:hAnsi="仿宋_GB2312" w:eastAsia="仿宋_GB2312" w:cs="仿宋_GB2312"/>
          <w:b/>
          <w:sz w:val="30"/>
          <w:szCs w:val="30"/>
        </w:rPr>
      </w:pPr>
    </w:p>
    <w:p w14:paraId="4E90406A">
      <w:pPr>
        <w:pStyle w:val="14"/>
        <w:jc w:val="center"/>
        <w:rPr>
          <w:rFonts w:ascii="仿宋_GB2312" w:hAnsi="仿宋_GB2312" w:eastAsia="仿宋_GB2312" w:cs="仿宋_GB2312"/>
          <w:b/>
          <w:sz w:val="30"/>
          <w:szCs w:val="30"/>
        </w:rPr>
      </w:pPr>
    </w:p>
    <w:p w14:paraId="0F040B7C">
      <w:pPr>
        <w:pStyle w:val="14"/>
        <w:jc w:val="center"/>
        <w:rPr>
          <w:rFonts w:ascii="仿宋_GB2312" w:hAnsi="仿宋_GB2312" w:eastAsia="仿宋_GB2312" w:cs="仿宋_GB2312"/>
          <w:b/>
          <w:sz w:val="30"/>
          <w:szCs w:val="30"/>
        </w:rPr>
      </w:pPr>
    </w:p>
    <w:p w14:paraId="293959E2">
      <w:pPr>
        <w:pStyle w:val="14"/>
        <w:jc w:val="center"/>
        <w:rPr>
          <w:rFonts w:ascii="仿宋_GB2312" w:hAnsi="仿宋_GB2312" w:eastAsia="仿宋_GB2312" w:cs="仿宋_GB2312"/>
          <w:b/>
          <w:sz w:val="30"/>
          <w:szCs w:val="30"/>
        </w:rPr>
      </w:pPr>
    </w:p>
    <w:p w14:paraId="1839F1AB">
      <w:pPr>
        <w:pStyle w:val="14"/>
        <w:jc w:val="center"/>
        <w:rPr>
          <w:rFonts w:ascii="仿宋_GB2312" w:hAnsi="仿宋_GB2312" w:eastAsia="仿宋_GB2312" w:cs="仿宋_GB2312"/>
          <w:b/>
          <w:sz w:val="30"/>
          <w:szCs w:val="30"/>
        </w:rPr>
      </w:pPr>
    </w:p>
    <w:p w14:paraId="01F8FA4D">
      <w:pPr>
        <w:pStyle w:val="14"/>
        <w:jc w:val="center"/>
        <w:rPr>
          <w:rFonts w:ascii="仿宋_GB2312" w:hAnsi="仿宋_GB2312" w:eastAsia="仿宋_GB2312" w:cs="仿宋_GB2312"/>
          <w:b/>
          <w:sz w:val="30"/>
          <w:szCs w:val="30"/>
        </w:rPr>
      </w:pPr>
    </w:p>
    <w:p w14:paraId="47A712E5">
      <w:pPr>
        <w:pStyle w:val="14"/>
        <w:jc w:val="center"/>
        <w:rPr>
          <w:rFonts w:ascii="仿宋_GB2312" w:hAnsi="仿宋_GB2312" w:eastAsia="仿宋_GB2312" w:cs="仿宋_GB2312"/>
          <w:b/>
          <w:sz w:val="30"/>
          <w:szCs w:val="30"/>
        </w:rPr>
      </w:pPr>
    </w:p>
    <w:p w14:paraId="6F8CBA80">
      <w:pPr>
        <w:pStyle w:val="14"/>
        <w:jc w:val="center"/>
        <w:rPr>
          <w:rFonts w:ascii="仿宋_GB2312" w:hAnsi="仿宋_GB2312" w:eastAsia="仿宋_GB2312" w:cs="仿宋_GB2312"/>
          <w:b/>
          <w:sz w:val="30"/>
          <w:szCs w:val="30"/>
        </w:rPr>
      </w:pPr>
    </w:p>
    <w:p w14:paraId="1B8DD6E6">
      <w:pPr>
        <w:pStyle w:val="25"/>
        <w:spacing w:line="619" w:lineRule="exact"/>
        <w:ind w:firstLine="0"/>
        <w:jc w:val="center"/>
        <w:rPr>
          <w:rFonts w:hint="eastAsia"/>
          <w:b/>
          <w:bCs/>
          <w:sz w:val="32"/>
          <w:szCs w:val="32"/>
        </w:rPr>
      </w:pPr>
    </w:p>
    <w:p w14:paraId="762DF389">
      <w:pPr>
        <w:pStyle w:val="25"/>
        <w:spacing w:line="619" w:lineRule="exact"/>
        <w:ind w:firstLine="0"/>
        <w:jc w:val="center"/>
        <w:rPr>
          <w:b/>
          <w:bCs/>
          <w:sz w:val="32"/>
          <w:szCs w:val="32"/>
        </w:rPr>
      </w:pPr>
      <w:r>
        <w:rPr>
          <w:rFonts w:hint="eastAsia"/>
          <w:b/>
          <w:bCs/>
          <w:sz w:val="32"/>
          <w:szCs w:val="32"/>
        </w:rPr>
        <w:t>模块二 虚拟仿真竞赛试卷</w:t>
      </w:r>
    </w:p>
    <w:p w14:paraId="5BE4CF1F">
      <w:pPr>
        <w:pStyle w:val="14"/>
        <w:spacing w:line="418" w:lineRule="auto"/>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73EAB7F1">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w:t>
      </w:r>
      <w:r>
        <w:rPr>
          <w:rFonts w:ascii="仿宋_GB2312" w:hAnsi="仿宋_GB2312" w:eastAsia="仿宋_GB2312" w:cs="仿宋_GB2312"/>
          <w:color w:val="000000"/>
          <w:kern w:val="0"/>
          <w:szCs w:val="28"/>
          <w:lang w:bidi="ar"/>
        </w:rPr>
        <w:t>2</w:t>
      </w:r>
      <w:r>
        <w:rPr>
          <w:rFonts w:hint="eastAsia" w:ascii="仿宋_GB2312" w:hAnsi="仿宋_GB2312" w:eastAsia="仿宋_GB2312" w:cs="仿宋_GB2312"/>
          <w:color w:val="000000"/>
          <w:kern w:val="0"/>
          <w:szCs w:val="28"/>
          <w:lang w:bidi="ar"/>
        </w:rPr>
        <w:t>。</w:t>
      </w:r>
    </w:p>
    <w:p w14:paraId="0E9F9708">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1B71D8C3">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799575EC">
      <w:pPr>
        <w:pStyle w:val="14"/>
        <w:spacing w:line="418" w:lineRule="auto"/>
        <w:ind w:firstLine="560" w:firstLineChars="200"/>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75D9CAB4">
      <w:pPr>
        <w:pStyle w:val="25"/>
        <w:spacing w:line="619" w:lineRule="exact"/>
        <w:ind w:firstLine="0"/>
        <w:jc w:val="center"/>
        <w:rPr>
          <w:b/>
          <w:bCs/>
          <w:sz w:val="32"/>
          <w:szCs w:val="32"/>
        </w:rPr>
      </w:pPr>
      <w:r>
        <w:rPr>
          <w:rFonts w:hint="eastAsia"/>
          <w:b/>
          <w:bCs/>
          <w:sz w:val="32"/>
          <w:szCs w:val="32"/>
        </w:rPr>
        <w:t>任务一：装配式构件安装虚拟仿真</w:t>
      </w:r>
    </w:p>
    <w:p w14:paraId="3F4251DA">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w:t>
      </w:r>
      <w:r>
        <w:rPr>
          <w:rFonts w:ascii="仿宋_GB2312" w:hAnsi="仿宋_GB2312" w:eastAsia="仿宋_GB2312" w:cs="仿宋_GB2312"/>
          <w:color w:val="000000"/>
          <w:kern w:val="0"/>
          <w:szCs w:val="28"/>
          <w:lang w:bidi="ar"/>
        </w:rPr>
        <w:t>构件</w:t>
      </w:r>
      <w:r>
        <w:rPr>
          <w:rFonts w:hint="eastAsia" w:ascii="仿宋_GB2312" w:hAnsi="仿宋_GB2312" w:eastAsia="仿宋_GB2312" w:cs="仿宋_GB2312"/>
          <w:color w:val="000000"/>
          <w:kern w:val="0"/>
          <w:szCs w:val="28"/>
          <w:lang w:bidi="ar"/>
        </w:rPr>
        <w:t>安装虚拟仿真</w:t>
      </w:r>
      <w:r>
        <w:rPr>
          <w:rFonts w:ascii="仿宋_GB2312" w:hAnsi="仿宋_GB2312" w:eastAsia="仿宋_GB2312" w:cs="仿宋_GB2312"/>
          <w:color w:val="000000"/>
          <w:kern w:val="0"/>
          <w:szCs w:val="28"/>
          <w:lang w:bidi="ar"/>
        </w:rPr>
        <w:t>需包括构件吊装</w:t>
      </w:r>
      <w:r>
        <w:rPr>
          <w:rFonts w:hint="eastAsia" w:ascii="仿宋_GB2312" w:hAnsi="仿宋_GB2312" w:eastAsia="仿宋_GB2312" w:cs="仿宋_GB2312"/>
          <w:color w:val="000000"/>
          <w:kern w:val="0"/>
          <w:szCs w:val="28"/>
          <w:lang w:bidi="ar"/>
        </w:rPr>
        <w:t>与节点</w:t>
      </w:r>
      <w:r>
        <w:rPr>
          <w:rFonts w:ascii="仿宋_GB2312" w:hAnsi="仿宋_GB2312" w:eastAsia="仿宋_GB2312" w:cs="仿宋_GB2312"/>
          <w:color w:val="000000"/>
          <w:kern w:val="0"/>
          <w:szCs w:val="28"/>
          <w:lang w:bidi="ar"/>
        </w:rPr>
        <w:t>连接</w:t>
      </w:r>
      <w:r>
        <w:rPr>
          <w:rFonts w:hint="eastAsia" w:ascii="仿宋_GB2312" w:hAnsi="仿宋_GB2312" w:eastAsia="仿宋_GB2312" w:cs="仿宋_GB2312"/>
          <w:color w:val="000000"/>
          <w:kern w:val="0"/>
          <w:szCs w:val="28"/>
          <w:lang w:bidi="ar"/>
        </w:rPr>
        <w:t>。</w:t>
      </w:r>
    </w:p>
    <w:p w14:paraId="6E4AF8C6">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4D36C94D">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49D5751A">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w:t>
      </w:r>
      <w:r>
        <w:rPr>
          <w:rFonts w:ascii="仿宋_GB2312" w:hAnsi="仿宋_GB2312" w:eastAsia="仿宋_GB2312" w:cs="仿宋_GB2312"/>
          <w:color w:val="000000"/>
          <w:kern w:val="0"/>
          <w:szCs w:val="28"/>
          <w:lang w:bidi="ar"/>
        </w:rPr>
        <w:t>连接</w:t>
      </w:r>
    </w:p>
    <w:p w14:paraId="1CFA3007">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45113E41">
      <w:pPr>
        <w:widowControl/>
        <w:spacing w:line="418" w:lineRule="auto"/>
        <w:ind w:firstLine="560" w:firstLineChars="200"/>
        <w:rPr>
          <w:sz w:val="28"/>
          <w:szCs w:val="28"/>
          <w:lang w:bidi="ar"/>
        </w:rPr>
      </w:pPr>
    </w:p>
    <w:p w14:paraId="418E28EB">
      <w:pPr>
        <w:pStyle w:val="25"/>
        <w:spacing w:line="619" w:lineRule="exact"/>
        <w:ind w:firstLine="0"/>
        <w:jc w:val="center"/>
        <w:rPr>
          <w:b/>
          <w:bCs/>
          <w:sz w:val="32"/>
          <w:szCs w:val="32"/>
        </w:rPr>
      </w:pPr>
      <w:r>
        <w:rPr>
          <w:rFonts w:hint="eastAsia"/>
          <w:b/>
          <w:bCs/>
          <w:sz w:val="32"/>
          <w:szCs w:val="32"/>
        </w:rPr>
        <w:t>任务二：装配式构件灌浆虚拟仿真</w:t>
      </w:r>
    </w:p>
    <w:p w14:paraId="04DBB325">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w:t>
      </w:r>
      <w:r>
        <w:rPr>
          <w:rFonts w:ascii="仿宋_GB2312" w:hAnsi="仿宋_GB2312" w:eastAsia="仿宋_GB2312" w:cs="仿宋_GB2312"/>
          <w:color w:val="000000"/>
          <w:kern w:val="0"/>
          <w:sz w:val="28"/>
          <w:szCs w:val="28"/>
          <w:lang w:bidi="ar"/>
        </w:rPr>
        <w:t>包括</w:t>
      </w:r>
      <w:r>
        <w:rPr>
          <w:rFonts w:hint="eastAsia" w:ascii="仿宋_GB2312" w:hAnsi="仿宋_GB2312" w:eastAsia="仿宋_GB2312" w:cs="仿宋_GB2312"/>
          <w:color w:val="000000"/>
          <w:kern w:val="0"/>
          <w:sz w:val="28"/>
          <w:szCs w:val="28"/>
          <w:lang w:bidi="ar"/>
        </w:rPr>
        <w:t>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362C9FBC">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68F8BE58">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29AB2803">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1、本竞赛环节为3人合作竞技项目，3人合作完成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51186416">
      <w:pPr>
        <w:pStyle w:val="14"/>
        <w:ind w:firstLine="560" w:firstLineChars="200"/>
        <w:rPr>
          <w:rFonts w:ascii="仿宋_GB2312" w:hAnsi="仿宋_GB2312" w:eastAsia="仿宋_GB2312" w:cs="仿宋_GB2312"/>
          <w:szCs w:val="28"/>
        </w:rPr>
      </w:pPr>
      <w:bookmarkStart w:id="1" w:name="_GoBack"/>
      <w:bookmarkEnd w:id="1"/>
      <w:r>
        <w:rPr>
          <w:rFonts w:hint="eastAsia" w:ascii="仿宋_GB2312" w:hAnsi="仿宋_GB2312" w:eastAsia="仿宋_GB2312" w:cs="仿宋_GB2312"/>
          <w:szCs w:val="28"/>
        </w:rPr>
        <w:t>2、本竞赛环节总时长为连续90分钟。</w:t>
      </w:r>
    </w:p>
    <w:p w14:paraId="2FC47423">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1EA83BE2">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370E066C">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3019355A">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5220888C">
      <w:pPr>
        <w:widowControl/>
        <w:numPr>
          <w:ilvl w:val="0"/>
          <w:numId w:val="2"/>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45234E4E">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628765" cy="3491230"/>
            <wp:effectExtent l="0" t="0" r="63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l="14215" r="14513" b="6088"/>
                    <a:stretch>
                      <a:fillRect/>
                    </a:stretch>
                  </pic:blipFill>
                  <pic:spPr>
                    <a:xfrm>
                      <a:off x="0" y="0"/>
                      <a:ext cx="6628765" cy="3491230"/>
                    </a:xfrm>
                    <a:prstGeom prst="rect">
                      <a:avLst/>
                    </a:prstGeom>
                    <a:noFill/>
                    <a:ln>
                      <a:noFill/>
                    </a:ln>
                  </pic:spPr>
                </pic:pic>
              </a:graphicData>
            </a:graphic>
          </wp:inline>
        </w:drawing>
      </w:r>
    </w:p>
    <w:p w14:paraId="767FF24E">
      <w:pPr>
        <w:widowControl/>
        <w:ind w:firstLine="1476" w:firstLineChars="700"/>
        <w:jc w:val="left"/>
        <w:rPr>
          <w:rFonts w:ascii="仿宋_GB2312" w:hAnsi="仿宋_GB2312" w:eastAsia="仿宋_GB2312" w:cs="仿宋_GB2312"/>
          <w:b/>
          <w:bCs/>
          <w:u w:val="single"/>
        </w:rPr>
      </w:pPr>
    </w:p>
    <w:p w14:paraId="257F90B9">
      <w:pPr>
        <w:widowControl/>
        <w:numPr>
          <w:ilvl w:val="0"/>
          <w:numId w:val="3"/>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29DFE2BF">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工位示意图中墙板材料存放区存放多块预制板材，选手按图示要求选剪力墙板按《规范》吊装并安装如下图所示，并对角柱进行模板安装。</w:t>
      </w:r>
    </w:p>
    <w:p w14:paraId="0D0A958D">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YNQ-01要求：砼强度C35;连接方式灌浆套筒连接；构件尺寸1000x1250x200,（长x高x厚）。</w:t>
      </w:r>
    </w:p>
    <w:p w14:paraId="6A1805BB">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YNQ-02要求：砼强度C35;连接方式灌浆套筒连接；构件尺寸1000x1250x200,（长x高x厚）。</w:t>
      </w:r>
    </w:p>
    <w:p w14:paraId="36A0CA06">
      <w:pPr>
        <w:widowControl/>
        <w:ind w:firstLine="420" w:firstLineChars="200"/>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391275" cy="2549525"/>
            <wp:effectExtent l="0" t="0" r="952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rcRect t="4470" r="3158"/>
                    <a:stretch>
                      <a:fillRect/>
                    </a:stretch>
                  </pic:blipFill>
                  <pic:spPr>
                    <a:xfrm>
                      <a:off x="0" y="0"/>
                      <a:ext cx="6391275" cy="2549525"/>
                    </a:xfrm>
                    <a:prstGeom prst="rect">
                      <a:avLst/>
                    </a:prstGeom>
                    <a:noFill/>
                    <a:ln>
                      <a:noFill/>
                    </a:ln>
                  </pic:spPr>
                </pic:pic>
              </a:graphicData>
            </a:graphic>
          </wp:inline>
        </w:drawing>
      </w:r>
    </w:p>
    <w:p w14:paraId="51732205">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48ECEB7D">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4412F3CD">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261FCDB3">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2D2317C8">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36541FA2">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544E6ABC">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5F6182D0">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3AE46192">
      <w:pPr>
        <w:widowControl/>
        <w:jc w:val="left"/>
        <w:rPr>
          <w:rFonts w:ascii="仿宋_GB2312" w:hAnsi="仿宋_GB2312" w:eastAsia="仿宋_GB2312" w:cs="仿宋_GB2312"/>
          <w:color w:val="000000"/>
          <w:kern w:val="0"/>
          <w:sz w:val="28"/>
          <w:szCs w:val="28"/>
          <w:lang w:bidi="ar"/>
        </w:rPr>
      </w:pPr>
    </w:p>
    <w:p w14:paraId="667FE91D">
      <w:pPr>
        <w:pStyle w:val="14"/>
        <w:jc w:val="center"/>
        <w:rPr>
          <w:rFonts w:ascii="仿宋_GB2312" w:hAnsi="仿宋_GB2312" w:eastAsia="仿宋_GB2312" w:cs="仿宋_GB2312"/>
          <w:b/>
          <w:sz w:val="30"/>
          <w:szCs w:val="30"/>
        </w:rPr>
      </w:pPr>
    </w:p>
    <w:p w14:paraId="541EFDE3">
      <w:pPr>
        <w:pStyle w:val="14"/>
        <w:jc w:val="center"/>
        <w:rPr>
          <w:rFonts w:ascii="仿宋_GB2312" w:hAnsi="仿宋_GB2312" w:eastAsia="仿宋_GB2312" w:cs="仿宋_GB2312"/>
          <w:b/>
          <w:sz w:val="30"/>
          <w:szCs w:val="30"/>
        </w:rPr>
      </w:pPr>
    </w:p>
    <w:p w14:paraId="43FECD13">
      <w:pPr>
        <w:pStyle w:val="14"/>
        <w:jc w:val="center"/>
        <w:rPr>
          <w:rFonts w:ascii="仿宋_GB2312" w:hAnsi="仿宋_GB2312" w:eastAsia="仿宋_GB2312" w:cs="仿宋_GB2312"/>
          <w:b/>
          <w:sz w:val="30"/>
          <w:szCs w:val="30"/>
        </w:rPr>
      </w:pPr>
    </w:p>
    <w:p w14:paraId="210E230D">
      <w:pPr>
        <w:pStyle w:val="14"/>
        <w:jc w:val="center"/>
        <w:rPr>
          <w:rFonts w:ascii="仿宋_GB2312" w:hAnsi="仿宋_GB2312" w:eastAsia="仿宋_GB2312" w:cs="仿宋_GB2312"/>
          <w:b/>
          <w:sz w:val="30"/>
          <w:szCs w:val="30"/>
        </w:rPr>
      </w:pPr>
    </w:p>
    <w:p w14:paraId="366378B3">
      <w:pPr>
        <w:pStyle w:val="14"/>
        <w:jc w:val="center"/>
        <w:rPr>
          <w:rFonts w:ascii="仿宋_GB2312" w:hAnsi="仿宋_GB2312" w:eastAsia="仿宋_GB2312" w:cs="仿宋_GB2312"/>
          <w:b/>
          <w:sz w:val="30"/>
          <w:szCs w:val="30"/>
        </w:rPr>
      </w:pPr>
    </w:p>
    <w:p w14:paraId="211A2FBD">
      <w:pPr>
        <w:pStyle w:val="14"/>
        <w:jc w:val="center"/>
        <w:rPr>
          <w:rFonts w:ascii="仿宋_GB2312" w:hAnsi="仿宋_GB2312" w:eastAsia="仿宋_GB2312" w:cs="仿宋_GB2312"/>
          <w:b/>
          <w:sz w:val="30"/>
          <w:szCs w:val="30"/>
        </w:rPr>
      </w:pPr>
    </w:p>
    <w:p w14:paraId="04A62ECB">
      <w:pPr>
        <w:pStyle w:val="14"/>
        <w:jc w:val="center"/>
        <w:rPr>
          <w:rFonts w:ascii="仿宋_GB2312" w:hAnsi="仿宋_GB2312" w:eastAsia="仿宋_GB2312" w:cs="仿宋_GB2312"/>
          <w:b/>
          <w:sz w:val="30"/>
          <w:szCs w:val="30"/>
        </w:rPr>
      </w:pPr>
    </w:p>
    <w:p w14:paraId="765DE002">
      <w:pPr>
        <w:pStyle w:val="14"/>
        <w:jc w:val="center"/>
        <w:rPr>
          <w:rFonts w:ascii="仿宋_GB2312" w:hAnsi="仿宋_GB2312" w:eastAsia="仿宋_GB2312" w:cs="仿宋_GB2312"/>
          <w:b/>
          <w:sz w:val="30"/>
          <w:szCs w:val="30"/>
        </w:rPr>
      </w:pPr>
    </w:p>
    <w:p w14:paraId="0A67AAC2">
      <w:pPr>
        <w:pStyle w:val="14"/>
        <w:jc w:val="center"/>
        <w:rPr>
          <w:rFonts w:ascii="仿宋_GB2312" w:hAnsi="仿宋_GB2312" w:eastAsia="仿宋_GB2312" w:cs="仿宋_GB2312"/>
          <w:b/>
          <w:sz w:val="30"/>
          <w:szCs w:val="30"/>
        </w:rPr>
      </w:pPr>
    </w:p>
    <w:p w14:paraId="460E9C08">
      <w:pPr>
        <w:pStyle w:val="14"/>
        <w:jc w:val="center"/>
        <w:rPr>
          <w:rFonts w:ascii="仿宋_GB2312" w:hAnsi="仿宋_GB2312" w:eastAsia="仿宋_GB2312" w:cs="仿宋_GB2312"/>
          <w:b/>
          <w:sz w:val="30"/>
          <w:szCs w:val="30"/>
        </w:rPr>
      </w:pPr>
    </w:p>
    <w:p w14:paraId="3984CAA7">
      <w:pPr>
        <w:pStyle w:val="14"/>
        <w:jc w:val="center"/>
        <w:rPr>
          <w:rFonts w:ascii="仿宋_GB2312" w:hAnsi="仿宋_GB2312" w:eastAsia="仿宋_GB2312" w:cs="仿宋_GB2312"/>
          <w:b/>
          <w:sz w:val="30"/>
          <w:szCs w:val="30"/>
        </w:rPr>
      </w:pPr>
    </w:p>
    <w:p w14:paraId="365F4A27">
      <w:pPr>
        <w:pStyle w:val="14"/>
        <w:jc w:val="center"/>
        <w:rPr>
          <w:rFonts w:ascii="仿宋_GB2312" w:hAnsi="仿宋_GB2312" w:eastAsia="仿宋_GB2312" w:cs="仿宋_GB2312"/>
          <w:b/>
          <w:sz w:val="30"/>
          <w:szCs w:val="30"/>
        </w:rPr>
      </w:pPr>
    </w:p>
    <w:p w14:paraId="00AC79B6">
      <w:pPr>
        <w:pStyle w:val="14"/>
        <w:jc w:val="center"/>
        <w:rPr>
          <w:rFonts w:ascii="仿宋_GB2312" w:hAnsi="仿宋_GB2312" w:eastAsia="仿宋_GB2312" w:cs="仿宋_GB2312"/>
          <w:b/>
          <w:sz w:val="30"/>
          <w:szCs w:val="30"/>
        </w:rPr>
      </w:pPr>
    </w:p>
    <w:p w14:paraId="73C5EFCA">
      <w:pPr>
        <w:pStyle w:val="14"/>
        <w:jc w:val="center"/>
        <w:rPr>
          <w:rFonts w:ascii="仿宋_GB2312" w:hAnsi="仿宋_GB2312" w:eastAsia="仿宋_GB2312" w:cs="仿宋_GB2312"/>
          <w:b/>
          <w:sz w:val="30"/>
          <w:szCs w:val="30"/>
        </w:rPr>
      </w:pPr>
    </w:p>
    <w:p w14:paraId="0B8D0CD3">
      <w:pPr>
        <w:pStyle w:val="14"/>
        <w:jc w:val="center"/>
        <w:rPr>
          <w:rFonts w:ascii="仿宋_GB2312" w:hAnsi="仿宋_GB2312" w:eastAsia="仿宋_GB2312" w:cs="仿宋_GB2312"/>
          <w:b/>
          <w:sz w:val="30"/>
          <w:szCs w:val="30"/>
        </w:rPr>
      </w:pPr>
    </w:p>
    <w:p w14:paraId="3D31C402">
      <w:pPr>
        <w:pStyle w:val="14"/>
        <w:jc w:val="center"/>
        <w:rPr>
          <w:rFonts w:ascii="仿宋_GB2312" w:hAnsi="仿宋_GB2312" w:eastAsia="仿宋_GB2312" w:cs="仿宋_GB2312"/>
          <w:b/>
          <w:sz w:val="30"/>
          <w:szCs w:val="30"/>
        </w:rPr>
      </w:pPr>
    </w:p>
    <w:p w14:paraId="393953E6">
      <w:pPr>
        <w:pStyle w:val="14"/>
        <w:jc w:val="center"/>
        <w:rPr>
          <w:rFonts w:ascii="仿宋_GB2312" w:hAnsi="仿宋_GB2312" w:eastAsia="仿宋_GB2312" w:cs="仿宋_GB2312"/>
          <w:b/>
          <w:sz w:val="30"/>
          <w:szCs w:val="30"/>
        </w:rPr>
      </w:pPr>
    </w:p>
    <w:p w14:paraId="675469DB">
      <w:pPr>
        <w:pStyle w:val="14"/>
        <w:jc w:val="center"/>
        <w:rPr>
          <w:rFonts w:ascii="仿宋_GB2312" w:hAnsi="仿宋_GB2312" w:eastAsia="仿宋_GB2312" w:cs="仿宋_GB2312"/>
          <w:b/>
          <w:sz w:val="30"/>
          <w:szCs w:val="30"/>
        </w:rPr>
      </w:pPr>
    </w:p>
    <w:p w14:paraId="2C6DE574">
      <w:pPr>
        <w:pStyle w:val="14"/>
        <w:jc w:val="center"/>
        <w:rPr>
          <w:rFonts w:ascii="仿宋_GB2312" w:hAnsi="仿宋_GB2312" w:eastAsia="仿宋_GB2312" w:cs="仿宋_GB2312"/>
          <w:b/>
          <w:sz w:val="30"/>
          <w:szCs w:val="30"/>
        </w:rPr>
      </w:pPr>
    </w:p>
    <w:p w14:paraId="0F086664">
      <w:pPr>
        <w:pStyle w:val="14"/>
        <w:jc w:val="center"/>
        <w:rPr>
          <w:rFonts w:ascii="仿宋_GB2312" w:hAnsi="仿宋_GB2312" w:eastAsia="仿宋_GB2312" w:cs="仿宋_GB2312"/>
          <w:b/>
          <w:sz w:val="30"/>
          <w:szCs w:val="30"/>
        </w:rPr>
      </w:pPr>
    </w:p>
    <w:p w14:paraId="504CB63C">
      <w:pPr>
        <w:pStyle w:val="14"/>
        <w:jc w:val="center"/>
        <w:rPr>
          <w:rFonts w:ascii="仿宋_GB2312" w:hAnsi="仿宋_GB2312" w:eastAsia="仿宋_GB2312" w:cs="仿宋_GB2312"/>
          <w:b/>
          <w:sz w:val="30"/>
          <w:szCs w:val="30"/>
        </w:rPr>
      </w:pPr>
    </w:p>
    <w:p w14:paraId="29F80692">
      <w:pPr>
        <w:pStyle w:val="14"/>
        <w:jc w:val="center"/>
        <w:rPr>
          <w:rFonts w:ascii="仿宋_GB2312" w:hAnsi="仿宋_GB2312" w:eastAsia="仿宋_GB2312" w:cs="仿宋_GB2312"/>
          <w:b/>
          <w:sz w:val="30"/>
          <w:szCs w:val="30"/>
        </w:rPr>
      </w:pPr>
    </w:p>
    <w:p w14:paraId="2B20E2A9">
      <w:pPr>
        <w:pStyle w:val="14"/>
        <w:jc w:val="center"/>
        <w:rPr>
          <w:rFonts w:ascii="仿宋_GB2312" w:hAnsi="仿宋_GB2312" w:eastAsia="仿宋_GB2312" w:cs="仿宋_GB2312"/>
          <w:b/>
          <w:sz w:val="30"/>
          <w:szCs w:val="30"/>
        </w:rPr>
      </w:pPr>
    </w:p>
    <w:p w14:paraId="16474159">
      <w:pPr>
        <w:pStyle w:val="14"/>
        <w:jc w:val="center"/>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1255C"/>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23334"/>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20D21"/>
    <w:rsid w:val="00635227"/>
    <w:rsid w:val="006426EB"/>
    <w:rsid w:val="0064512D"/>
    <w:rsid w:val="00653CAE"/>
    <w:rsid w:val="006547AD"/>
    <w:rsid w:val="00663354"/>
    <w:rsid w:val="00667A4D"/>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0A7B"/>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2C34D1A"/>
    <w:rsid w:val="135D370D"/>
    <w:rsid w:val="158433EB"/>
    <w:rsid w:val="16784454"/>
    <w:rsid w:val="16BF11DD"/>
    <w:rsid w:val="18B773FA"/>
    <w:rsid w:val="1A25509E"/>
    <w:rsid w:val="1A554F9A"/>
    <w:rsid w:val="1A5C29C2"/>
    <w:rsid w:val="1B412645"/>
    <w:rsid w:val="1B651DA3"/>
    <w:rsid w:val="1C645914"/>
    <w:rsid w:val="1FB1776E"/>
    <w:rsid w:val="202969ED"/>
    <w:rsid w:val="20A51A2D"/>
    <w:rsid w:val="215C64E4"/>
    <w:rsid w:val="231A34C1"/>
    <w:rsid w:val="233C2774"/>
    <w:rsid w:val="244B6568"/>
    <w:rsid w:val="274E68CF"/>
    <w:rsid w:val="28C26FAC"/>
    <w:rsid w:val="296A38B1"/>
    <w:rsid w:val="2B997BE2"/>
    <w:rsid w:val="2BB46F1D"/>
    <w:rsid w:val="2C345BA8"/>
    <w:rsid w:val="2FA054F8"/>
    <w:rsid w:val="300703B5"/>
    <w:rsid w:val="309B0CAA"/>
    <w:rsid w:val="365D1558"/>
    <w:rsid w:val="37756932"/>
    <w:rsid w:val="377F3FB6"/>
    <w:rsid w:val="37BB49E2"/>
    <w:rsid w:val="38FA4476"/>
    <w:rsid w:val="39E50740"/>
    <w:rsid w:val="3CC05722"/>
    <w:rsid w:val="3D866913"/>
    <w:rsid w:val="40B01861"/>
    <w:rsid w:val="415657AA"/>
    <w:rsid w:val="42FC76D0"/>
    <w:rsid w:val="433A3380"/>
    <w:rsid w:val="436D36BB"/>
    <w:rsid w:val="43A20BAB"/>
    <w:rsid w:val="4714323A"/>
    <w:rsid w:val="47615D53"/>
    <w:rsid w:val="48270F31"/>
    <w:rsid w:val="4B971718"/>
    <w:rsid w:val="4BE331DB"/>
    <w:rsid w:val="4D517835"/>
    <w:rsid w:val="4DBB4E9D"/>
    <w:rsid w:val="4E3D039E"/>
    <w:rsid w:val="4E821628"/>
    <w:rsid w:val="4F310779"/>
    <w:rsid w:val="526B3F2A"/>
    <w:rsid w:val="5358625C"/>
    <w:rsid w:val="53E75832"/>
    <w:rsid w:val="54CE3AA7"/>
    <w:rsid w:val="563A6F01"/>
    <w:rsid w:val="59335998"/>
    <w:rsid w:val="59466384"/>
    <w:rsid w:val="5B4236BA"/>
    <w:rsid w:val="5E887250"/>
    <w:rsid w:val="5F4C0F87"/>
    <w:rsid w:val="65A4546F"/>
    <w:rsid w:val="666B2E92"/>
    <w:rsid w:val="677D5B76"/>
    <w:rsid w:val="67E24A1A"/>
    <w:rsid w:val="68677928"/>
    <w:rsid w:val="6BCF0863"/>
    <w:rsid w:val="6C1D139E"/>
    <w:rsid w:val="6E4353F2"/>
    <w:rsid w:val="6F263E64"/>
    <w:rsid w:val="70C80A99"/>
    <w:rsid w:val="788B5054"/>
    <w:rsid w:val="79736ACF"/>
    <w:rsid w:val="7BBA57C9"/>
    <w:rsid w:val="7C246414"/>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uiPriority w:val="0"/>
    <w:rPr>
      <w:rFonts w:ascii="宋体" w:hAnsi="宋体" w:cs="宋体"/>
      <w:sz w:val="26"/>
      <w:szCs w:val="26"/>
      <w:lang w:val="zh-CN" w:bidi="zh-CN"/>
    </w:rPr>
  </w:style>
  <w:style w:type="paragraph" w:customStyle="1" w:styleId="25">
    <w:name w:val="正文文本1"/>
    <w:basedOn w:val="1"/>
    <w:link w:val="24"/>
    <w:qFormat/>
    <w:uiPriority w:val="0"/>
    <w:pPr>
      <w:spacing w:line="442"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7293</Words>
  <Characters>8307</Characters>
  <Lines>67</Lines>
  <Paragraphs>18</Paragraphs>
  <TotalTime>0</TotalTime>
  <ScaleCrop>false</ScaleCrop>
  <LinksUpToDate>false</LinksUpToDate>
  <CharactersWithSpaces>8905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2024-11-18T12:09:46Z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EDC4BAA33C4F40D1942F987BEEDF283A_13</vt:lpwstr>
  </property>
</Properties>
</file>