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DADEE">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14468D08">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719D32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p>
    <w:p w14:paraId="369E23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6BCBC7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1.国务院办公厅《关于大力发展装配式建筑的指导意见》的重点任务中提出,统筹建筑结构、机电设备、部品部件、装配施工、装饰装修，推行装配式建筑（ ）。</w:t>
      </w:r>
    </w:p>
    <w:p w14:paraId="03AE1B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A.深化设计  </w:t>
      </w:r>
    </w:p>
    <w:p w14:paraId="495C30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B.正向设计</w:t>
      </w:r>
    </w:p>
    <w:p w14:paraId="70C237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C.协同设计 </w:t>
      </w:r>
    </w:p>
    <w:p w14:paraId="65D062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D.一体化集成设计</w:t>
      </w:r>
    </w:p>
    <w:p w14:paraId="06565D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A4875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2.在《“十三五”装配式建筑行动方案》第三节保障措施中建立统计上报制度指出,按照《装配式建筑评价标准》规定，用（ ）作为装配式建筑认定指标。</w:t>
      </w:r>
    </w:p>
    <w:p w14:paraId="08BE68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A.市场占有率</w:t>
      </w:r>
    </w:p>
    <w:p w14:paraId="0BCA69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B.材料使用率</w:t>
      </w:r>
    </w:p>
    <w:p w14:paraId="6F4558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C.绿色分配率</w:t>
      </w:r>
    </w:p>
    <w:p w14:paraId="526614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D.装配率</w:t>
      </w:r>
    </w:p>
    <w:p w14:paraId="312FF7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26DC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3.预制构件安装施工前，应编制专项施工方案，并按设计要求对各工况进行施工验算和（ ）。</w:t>
      </w:r>
    </w:p>
    <w:p w14:paraId="25F3C3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A.塔吊布置</w:t>
      </w:r>
    </w:p>
    <w:p w14:paraId="13AF68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B.施工技术交底</w:t>
      </w:r>
    </w:p>
    <w:p w14:paraId="4B586D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C.生产技术交底</w:t>
      </w:r>
    </w:p>
    <w:p w14:paraId="1A5AF9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D.施工场地勘察</w:t>
      </w:r>
    </w:p>
    <w:p w14:paraId="2F10AC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A944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4.预制构件生产的通用工艺流程，正确的顺序为：（   ）。</w:t>
      </w:r>
    </w:p>
    <w:p w14:paraId="51C38C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A.模台清理——模具组装——钢筋加工安装——管线、预埋件等安装——混凝土浇筑——养护——脱模——表面处理——成品验收——运输存放；</w:t>
      </w:r>
    </w:p>
    <w:p w14:paraId="56034F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B.模台清理——模具组装——钢筋加工安装——管线、预埋件等安装——混凝土浇筑——养护——脱模——表面处理——运输存放——成品验收；</w:t>
      </w:r>
    </w:p>
    <w:p w14:paraId="57FE3F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模台清理——模具组装——钢筋加工安装——管线、预埋件等安装——混凝土浇筑——养护——表面处理——脱模——成品验收——运输存放；</w:t>
      </w:r>
    </w:p>
    <w:p w14:paraId="4FD643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模台清理——模具组装——混凝土浇筑——钢筋加工安装——管线、预埋件等安装——养护——表面处理——脱模——成品验收——运输存放；</w:t>
      </w:r>
    </w:p>
    <w:p w14:paraId="69F6BB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97D15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5.《装配式混凝土结构技术规程》JGJ 1-2014规定，吊装时，吊具应按国家现行有关标准的规定进行设计、验算和试验检验。吊具应根据预制构件形状、尺寸及重量等参数进行配置，吊索水平夹角不应小于（ ）度。</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A.30</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0EB097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B.45</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27A22C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C.60</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14:paraId="137F98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D.80</w:t>
      </w:r>
    </w:p>
    <w:p w14:paraId="21101A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1D6A1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6.装配整体式框架结构中，预制柱水平接缝处不宜出现（ ）。</w:t>
      </w:r>
    </w:p>
    <w:p w14:paraId="21FAEF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A.拉力</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B.剪力</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C.压力</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D.弯矩</w:t>
      </w:r>
    </w:p>
    <w:p w14:paraId="32D5BB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C8B6C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7.预制墙板模具的侧模设计，首先按照刚度设计，在荷载设计值的作用下，侧模侧弯变形的允许变形值为（）。</w:t>
      </w:r>
    </w:p>
    <w:p w14:paraId="1BD9A4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A．L/1000</w:t>
      </w:r>
    </w:p>
    <w:p w14:paraId="077A4D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B．L/1500</w:t>
      </w:r>
    </w:p>
    <w:p w14:paraId="79FDB9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C．L/2000</w:t>
      </w:r>
    </w:p>
    <w:p w14:paraId="15B861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D．L/2500</w:t>
      </w:r>
    </w:p>
    <w:p w14:paraId="5D6E49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B0070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8.下列试验中，哪个试验不是减水剂进场时需要进行的试验（  ）</w:t>
      </w:r>
    </w:p>
    <w:p w14:paraId="0AED00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A.减水率</w:t>
      </w:r>
    </w:p>
    <w:p w14:paraId="414BCE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B.流动度比</w:t>
      </w:r>
    </w:p>
    <w:p w14:paraId="143F5B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C.pH值</w:t>
      </w:r>
    </w:p>
    <w:p w14:paraId="5DB18E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D.密度</w:t>
      </w:r>
    </w:p>
    <w:p w14:paraId="7FC32B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6A83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9.《混凝土结构工程施工质量验收规范》GB50204-2015规定，后张发预应力筋锚固后，锚具外预应力筋的外露长度不应小于其直径的（ ）倍，且不应小于（ ）mm。</w:t>
      </w:r>
    </w:p>
    <w:p w14:paraId="7A46D0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2  10         </w:t>
      </w:r>
    </w:p>
    <w:p w14:paraId="09B41C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 10       </w:t>
      </w:r>
    </w:p>
    <w:p w14:paraId="5DAA0A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C.1.5 10       </w:t>
      </w:r>
    </w:p>
    <w:p w14:paraId="5F71BD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D.1.5 30</w:t>
      </w:r>
    </w:p>
    <w:p w14:paraId="296D7F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8BB4F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10.预制叠合板构件在生产时，叠合板浇筑面层的粗糙面，可在混凝土（ ）前进行拉毛处理。</w:t>
      </w:r>
    </w:p>
    <w:p w14:paraId="74F6F6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A.终凝</w:t>
      </w:r>
    </w:p>
    <w:p w14:paraId="41508D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B.初凝</w:t>
      </w:r>
    </w:p>
    <w:p w14:paraId="4A42C2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C.流动</w:t>
      </w:r>
    </w:p>
    <w:p w14:paraId="7E3B7C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D.凝固</w:t>
      </w:r>
    </w:p>
    <w:p w14:paraId="4B23DB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9AA41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11.半灌浆套筒在批量使用前，应进行（ ）检验，来确定加工工艺的人员、设备、钢筋等适应性，检验是否符合规范要求，当检验合格后，方可批量生产加工。</w:t>
      </w:r>
    </w:p>
    <w:p w14:paraId="539B16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A.工艺</w:t>
      </w:r>
    </w:p>
    <w:p w14:paraId="7FCB89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B.钢筋    </w:t>
      </w:r>
    </w:p>
    <w:p w14:paraId="3E6689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C.模具</w:t>
      </w:r>
    </w:p>
    <w:p w14:paraId="7EAB69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D.重量</w:t>
      </w:r>
    </w:p>
    <w:p w14:paraId="110DC2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7E441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0" w:name="_Hlk506307585"/>
      <w:r>
        <w:rPr>
          <w:rFonts w:hint="eastAsia" w:ascii="仿宋_GB2312" w:hAnsi="仿宋_GB2312" w:eastAsia="仿宋_GB2312" w:cs="仿宋_GB2312"/>
          <w:sz w:val="28"/>
          <w:szCs w:val="28"/>
        </w:rPr>
        <w:t>12.编号为WQC1</w:t>
      </w:r>
      <w:bookmarkEnd w:id="0"/>
      <w:r>
        <w:rPr>
          <w:rFonts w:hint="eastAsia" w:ascii="仿宋_GB2312" w:hAnsi="仿宋_GB2312" w:eastAsia="仿宋_GB2312" w:cs="仿宋_GB2312"/>
          <w:sz w:val="28"/>
          <w:szCs w:val="28"/>
        </w:rPr>
        <w:t>-3028-1514的内叶墙板，其含义为（ ）。</w:t>
      </w:r>
    </w:p>
    <w:p w14:paraId="6AC199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A.预制内叶墙板类型为一个窗洞矮窗台外墙，标志宽度3000mm，层高2800mm，窗宽1500mm，窗高1400mm。</w:t>
      </w:r>
    </w:p>
    <w:p w14:paraId="2028E3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B.预制内叶墙板类型为一个窗洞高窗台外墙，标志宽度3000mm，层高2800mm，窗宽1500mm，窗高1400mm。</w:t>
      </w:r>
    </w:p>
    <w:p w14:paraId="5B9D9F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C.预制内叶墙板类型为一个窗洞高窗台外墙，层高3000mm，标志宽度2800mm，窗宽1500mm，窗高1400mm。</w:t>
      </w:r>
    </w:p>
    <w:p w14:paraId="48FF0A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D.预制内叶墙板类型为一个窗洞高窗台外墙，标志宽度3000mm，层高2800mm，窗高1500mm，窗宽1400mm。</w:t>
      </w:r>
    </w:p>
    <w:p w14:paraId="7B4239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6A77F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13.剪力墙平面布置图中，图例“</w:t>
      </w:r>
      <w:r>
        <w:rPr>
          <w:rFonts w:hint="eastAsia" w:ascii="仿宋_GB2312" w:hAnsi="仿宋_GB2312" w:eastAsia="仿宋_GB2312" w:cs="仿宋_GB2312"/>
          <w:sz w:val="28"/>
          <w:szCs w:val="28"/>
        </w:rPr>
        <w:drawing>
          <wp:inline distT="0" distB="0" distL="114300" distR="114300">
            <wp:extent cx="381000" cy="1524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381000" cy="152400"/>
                    </a:xfrm>
                    <a:prstGeom prst="rect">
                      <a:avLst/>
                    </a:prstGeom>
                    <a:noFill/>
                    <a:ln>
                      <a:noFill/>
                    </a:ln>
                  </pic:spPr>
                </pic:pic>
              </a:graphicData>
            </a:graphic>
          </wp:inline>
        </w:drawing>
      </w:r>
      <w:r>
        <w:rPr>
          <w:rFonts w:hint="eastAsia" w:ascii="仿宋_GB2312" w:hAnsi="仿宋_GB2312" w:eastAsia="仿宋_GB2312" w:cs="仿宋_GB2312"/>
          <w:sz w:val="28"/>
          <w:szCs w:val="28"/>
        </w:rPr>
        <w:t>”表示（ ）。</w:t>
      </w:r>
    </w:p>
    <w:p w14:paraId="52E300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A.保温层     </w:t>
      </w:r>
    </w:p>
    <w:p w14:paraId="69A2E6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B.预制钢筋混凝土  </w:t>
      </w:r>
    </w:p>
    <w:p w14:paraId="295EA8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C.现浇钢筋混凝土墙体 </w:t>
      </w:r>
    </w:p>
    <w:p w14:paraId="2F6A85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D.后浇段、边缘构件</w:t>
      </w:r>
    </w:p>
    <w:p w14:paraId="249289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B7A9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14.预制构件生产单位应具备保证产品质量要求的（  ），建立完善的质量管理体系和制度，并宜建立质量可追溯的信息化管理系统。</w:t>
      </w:r>
    </w:p>
    <w:p w14:paraId="34E217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A.生产工艺设施、实验检测条件</w:t>
      </w:r>
    </w:p>
    <w:p w14:paraId="60AEBE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B.生产人员配置、技术操作标准</w:t>
      </w:r>
    </w:p>
    <w:p w14:paraId="2AD261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C.生产实施经验、生产组织架构</w:t>
      </w:r>
    </w:p>
    <w:p w14:paraId="63E2F4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D.生产工艺设施、技术操作标准</w:t>
      </w:r>
    </w:p>
    <w:p w14:paraId="14DA74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BBE99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15.编号为JT-28-25的楼梯，其含义为（ ）。 </w:t>
      </w:r>
    </w:p>
    <w:p w14:paraId="7A13F8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A.预制混凝土板式剪刀楼梯，建筑层高2500mm、楼梯间净宽2800mm。</w:t>
      </w:r>
    </w:p>
    <w:p w14:paraId="6B29874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B.预制混凝土板式剪刀楼梯，建筑层高2800mm、楼梯间净宽2500mm。</w:t>
      </w:r>
    </w:p>
    <w:p w14:paraId="333778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C.预制混凝土板式双跑楼梯，建筑层高2800mm、楼梯间净宽2500mm。</w:t>
      </w:r>
    </w:p>
    <w:p w14:paraId="72149C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D.预制混凝土板式单跑楼梯，建筑层高2800mm、楼梯间净宽2500mm。</w:t>
      </w:r>
    </w:p>
    <w:p w14:paraId="1BC5F5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6A35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16.模具组装时其中梯段、板的高（厚）度尺寸允许偏差为（ ）㎜。 </w:t>
      </w:r>
    </w:p>
    <w:p w14:paraId="498061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A.+1，-3     </w:t>
      </w:r>
    </w:p>
    <w:p w14:paraId="5D1DA2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B.+1，-1     </w:t>
      </w:r>
    </w:p>
    <w:p w14:paraId="54E9C2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C.+2，-3   </w:t>
      </w:r>
    </w:p>
    <w:p w14:paraId="26C4E8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D.+2，-2</w:t>
      </w:r>
    </w:p>
    <w:p w14:paraId="6B0CB0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E41B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17.绑扎板筋时采用顺扣或八字扣，该板为双向、双层钢筋，两层之间须加钢筋马凳以确保上部钢筋的位置，马凳成（ ）布置，所有钢筋每个相交点均要绑扎。</w:t>
      </w:r>
    </w:p>
    <w:p w14:paraId="29F428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A.之字形 </w:t>
      </w:r>
    </w:p>
    <w:p w14:paraId="16BCE0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梅花型 </w:t>
      </w:r>
    </w:p>
    <w:p w14:paraId="67055B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C.十字型 </w:t>
      </w:r>
    </w:p>
    <w:p w14:paraId="539B6A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D.一字型</w:t>
      </w:r>
    </w:p>
    <w:p w14:paraId="0C48B2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BE781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18.为保证套筒内灌浆料对钢筋的锚固能力，灌浆套筒灌浆连接端钢筋锚固长度不宜小于（D）倍钢筋直径。 </w:t>
      </w:r>
    </w:p>
    <w:p w14:paraId="5B562A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A.5 </w:t>
      </w:r>
    </w:p>
    <w:p w14:paraId="139AD8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 </w:t>
      </w:r>
    </w:p>
    <w:p w14:paraId="36614C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 </w:t>
      </w:r>
    </w:p>
    <w:p w14:paraId="4DBD58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w:t>
      </w:r>
    </w:p>
    <w:p w14:paraId="74017F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87FB1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19.预制墙板混凝土用砂一般以（ ）为宜。 </w:t>
      </w:r>
    </w:p>
    <w:p w14:paraId="55BE0E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A.粗砂    </w:t>
      </w:r>
    </w:p>
    <w:p w14:paraId="773F33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B.中砂     </w:t>
      </w:r>
    </w:p>
    <w:p w14:paraId="4E951D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C.中、粗砂     </w:t>
      </w:r>
    </w:p>
    <w:p w14:paraId="499CC4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D.细沙</w:t>
      </w:r>
    </w:p>
    <w:p w14:paraId="1E1E03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0661A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20.预制叠合楼板采用拉毛处理方法时应在混凝土达到（ ）完成。 </w:t>
      </w:r>
    </w:p>
    <w:p w14:paraId="680DB2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初凝前    </w:t>
      </w:r>
    </w:p>
    <w:p w14:paraId="707788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初凝后     </w:t>
      </w:r>
    </w:p>
    <w:p w14:paraId="34AD86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终凝前     </w:t>
      </w:r>
    </w:p>
    <w:p w14:paraId="000E68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终凝后</w:t>
      </w:r>
    </w:p>
    <w:p w14:paraId="43DDC4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DA0D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21.预制混凝土楼梯的合模顺序一般为（ ）。 </w:t>
      </w:r>
    </w:p>
    <w:p w14:paraId="2145B4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A.合侧板—上部小侧板—合背板—锁紧拉杆。 </w:t>
      </w:r>
    </w:p>
    <w:p w14:paraId="0A23F4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B.合背板—锁紧拉杆—合侧板—上部小侧板。</w:t>
      </w:r>
    </w:p>
    <w:p w14:paraId="207600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C.合侧板—锁紧拉杆—合背板—上部小侧板。</w:t>
      </w:r>
    </w:p>
    <w:p w14:paraId="6A01FB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D.合背板—上部小侧板—合侧板—锁紧拉杆。</w:t>
      </w:r>
    </w:p>
    <w:p w14:paraId="692871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F9268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22.下列哪个符号是常用的断面图的剖切符号（A）</w:t>
      </w:r>
    </w:p>
    <w:p w14:paraId="3EB1CE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641350" cy="342900"/>
            <wp:effectExtent l="0" t="0" r="6350" b="0"/>
            <wp:docPr id="7" name="图片 2" descr="wp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wps6"/>
                    <pic:cNvPicPr>
                      <a:picLocks noChangeAspect="1"/>
                    </pic:cNvPicPr>
                  </pic:nvPicPr>
                  <pic:blipFill>
                    <a:blip r:embed="rId5"/>
                    <a:stretch>
                      <a:fillRect/>
                    </a:stretch>
                  </pic:blipFill>
                  <pic:spPr>
                    <a:xfrm>
                      <a:off x="0" y="0"/>
                      <a:ext cx="641350" cy="3429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B.</w:t>
      </w:r>
      <w:r>
        <w:rPr>
          <w:rFonts w:hint="eastAsia" w:ascii="仿宋_GB2312" w:hAnsi="仿宋_GB2312" w:eastAsia="仿宋_GB2312" w:cs="仿宋_GB2312"/>
          <w:sz w:val="28"/>
          <w:szCs w:val="28"/>
        </w:rPr>
        <w:drawing>
          <wp:inline distT="0" distB="0" distL="114300" distR="114300">
            <wp:extent cx="571500" cy="381000"/>
            <wp:effectExtent l="0" t="0" r="0" b="0"/>
            <wp:docPr id="3" name="图片 3" descr="wps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ps7"/>
                    <pic:cNvPicPr>
                      <a:picLocks noChangeAspect="1"/>
                    </pic:cNvPicPr>
                  </pic:nvPicPr>
                  <pic:blipFill>
                    <a:blip r:embed="rId6"/>
                    <a:stretch>
                      <a:fillRect/>
                    </a:stretch>
                  </pic:blipFill>
                  <pic:spPr>
                    <a:xfrm>
                      <a:off x="0" y="0"/>
                      <a:ext cx="571500" cy="381000"/>
                    </a:xfrm>
                    <a:prstGeom prst="rect">
                      <a:avLst/>
                    </a:prstGeom>
                    <a:noFill/>
                    <a:ln>
                      <a:noFill/>
                    </a:ln>
                  </pic:spPr>
                </pic:pic>
              </a:graphicData>
            </a:graphic>
          </wp:inline>
        </w:drawing>
      </w:r>
    </w:p>
    <w:p w14:paraId="465178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C.-1-1             D.2---2</w:t>
      </w:r>
    </w:p>
    <w:p w14:paraId="3E7BD6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E0ADE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23.夹芯保温外墙板采取蒸汽养护时，养护温度不宜大于(  )℃，以防止保温材料变形造成对构件的破坏。 </w:t>
      </w:r>
    </w:p>
    <w:p w14:paraId="597CB3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A.30     </w:t>
      </w:r>
    </w:p>
    <w:p w14:paraId="1FFCA9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B.40    </w:t>
      </w:r>
    </w:p>
    <w:p w14:paraId="3B0BF1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C.50       </w:t>
      </w:r>
    </w:p>
    <w:p w14:paraId="5430FA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D.60</w:t>
      </w:r>
    </w:p>
    <w:p w14:paraId="760444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B364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91F16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24.脱模过程中，高宽比大于（ ）以上的大型预制构件，应边脱模边加支撑避免预制构件倾倒。 </w:t>
      </w:r>
    </w:p>
    <w:p w14:paraId="28B626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2     </w:t>
      </w:r>
    </w:p>
    <w:p w14:paraId="6EFFDC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2.5     </w:t>
      </w:r>
    </w:p>
    <w:p w14:paraId="68AA31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3      </w:t>
      </w:r>
    </w:p>
    <w:p w14:paraId="64424C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3.5</w:t>
      </w:r>
    </w:p>
    <w:p w14:paraId="5E8B9F2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D64EE4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25照片中竖向控制线有何作用（ ）。</w:t>
      </w:r>
    </w:p>
    <w:p w14:paraId="141647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anchor distT="0" distB="0" distL="114300" distR="114300" simplePos="0" relativeHeight="251659264" behindDoc="0" locked="0" layoutInCell="1" allowOverlap="0">
            <wp:simplePos x="0" y="0"/>
            <wp:positionH relativeFrom="column">
              <wp:posOffset>2994025</wp:posOffset>
            </wp:positionH>
            <wp:positionV relativeFrom="line">
              <wp:posOffset>2540</wp:posOffset>
            </wp:positionV>
            <wp:extent cx="1276350" cy="1104900"/>
            <wp:effectExtent l="0" t="0" r="0" b="0"/>
            <wp:wrapSquare wrapText="bothSides"/>
            <wp:docPr id="6" name="图片 2" descr="wp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wps8"/>
                    <pic:cNvPicPr>
                      <a:picLocks noChangeAspect="1"/>
                    </pic:cNvPicPr>
                  </pic:nvPicPr>
                  <pic:blipFill>
                    <a:blip r:embed="rId7"/>
                    <a:stretch>
                      <a:fillRect/>
                    </a:stretch>
                  </pic:blipFill>
                  <pic:spPr>
                    <a:xfrm>
                      <a:off x="0" y="0"/>
                      <a:ext cx="1276350" cy="1104900"/>
                    </a:xfrm>
                    <a:prstGeom prst="rect">
                      <a:avLst/>
                    </a:prstGeom>
                    <a:noFill/>
                    <a:ln>
                      <a:noFill/>
                    </a:ln>
                  </pic:spPr>
                </pic:pic>
              </a:graphicData>
            </a:graphic>
          </wp:anchor>
        </w:drawing>
      </w:r>
      <w:r>
        <w:rPr>
          <w:rFonts w:hint="eastAsia" w:ascii="仿宋_GB2312" w:hAnsi="仿宋_GB2312" w:eastAsia="仿宋_GB2312" w:cs="仿宋_GB2312"/>
          <w:sz w:val="28"/>
          <w:szCs w:val="28"/>
        </w:rPr>
        <w:t>A.控制洞口位置</w:t>
      </w:r>
    </w:p>
    <w:p w14:paraId="35D22E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B.控制悬挑构件左右位置线</w:t>
      </w:r>
    </w:p>
    <w:p w14:paraId="5B3CC8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C.控制墙体位置控制线</w:t>
      </w:r>
    </w:p>
    <w:p w14:paraId="45D401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D.控制外门窗位置控制线 </w:t>
      </w:r>
    </w:p>
    <w:p w14:paraId="7158D6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8197F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26.水平角观测所使用的全站仪、电子经纬仪和光学经纬仪，其光学（或激光）对中器的视轴与竖轴的重合度不应大于（ ）。</w:t>
      </w:r>
    </w:p>
    <w:p w14:paraId="0545E0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A.0.5mm</w:t>
      </w:r>
    </w:p>
    <w:p w14:paraId="64D1F2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B.1.0mm</w:t>
      </w:r>
    </w:p>
    <w:p w14:paraId="6542D1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C.1.5mm</w:t>
      </w:r>
    </w:p>
    <w:p w14:paraId="4F70C7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D.2.0mm</w:t>
      </w:r>
    </w:p>
    <w:p w14:paraId="34AA49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3DCA3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27.施工前，应由（  ）组织设计、施工、监理等单位对设计文件进行交底和会审。由施工单位完成的深化设计文件应经原设计单位确认。</w:t>
      </w:r>
    </w:p>
    <w:p w14:paraId="428B2A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A.勘察单位</w:t>
      </w:r>
    </w:p>
    <w:p w14:paraId="6FF0F0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B.施工单位</w:t>
      </w:r>
    </w:p>
    <w:p w14:paraId="094983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C.监理单位</w:t>
      </w:r>
    </w:p>
    <w:p w14:paraId="643D1E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D.建设单位</w:t>
      </w:r>
    </w:p>
    <w:p w14:paraId="17BF05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64C51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28.采用临时支撑时，对预制墙板的斜撑，其支撑点距离板底的距离不宜小于板高的（），且不应小于板高的（）。</w:t>
      </w:r>
    </w:p>
    <w:p w14:paraId="08E218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A.4/5,2/3</w:t>
      </w:r>
    </w:p>
    <w:p w14:paraId="64C22F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B.2/3,1/2</w:t>
      </w:r>
    </w:p>
    <w:p w14:paraId="08ACB2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C.2/3,1/4</w:t>
      </w:r>
    </w:p>
    <w:p w14:paraId="644CB0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D.1/2,1/3</w:t>
      </w:r>
    </w:p>
    <w:p w14:paraId="6D10E1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BA8F7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29.预制构件验收合格后，应在明显的部位标识构件型号、生产日期、质量验收合格标志和（ ）。、</w:t>
      </w:r>
    </w:p>
    <w:p w14:paraId="5C1A5CB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A.材料标识     </w:t>
      </w:r>
    </w:p>
    <w:p w14:paraId="7A633A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B.生产厂家    </w:t>
      </w:r>
    </w:p>
    <w:p w14:paraId="4BD9B3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C.二维码     </w:t>
      </w:r>
    </w:p>
    <w:p w14:paraId="79C72D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D.验收人员姓名</w:t>
      </w:r>
    </w:p>
    <w:p w14:paraId="692994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B2220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30.结合部位或接缝处混凝土施工，由于操作面的限制，不便于混凝土的振捣密实时，宜采用（ ），并应符合国家现行有关标准的规定。</w:t>
      </w:r>
    </w:p>
    <w:p w14:paraId="674E3D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A.微膨胀混凝土</w:t>
      </w:r>
    </w:p>
    <w:p w14:paraId="3F8D33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B.自密实混凝土</w:t>
      </w:r>
    </w:p>
    <w:p w14:paraId="270614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C.细石混凝土</w:t>
      </w:r>
    </w:p>
    <w:p w14:paraId="2F44B9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D.高强混凝土</w:t>
      </w:r>
    </w:p>
    <w:p w14:paraId="7AA002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794FE3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31.《钢筋套筒灌浆连接应用技术规程》JGJ 355-2015中规定竖向构件宜采用联通腔灌浆，连通灌浆区域内任意两个管将套筒间距不宜超过（ ）m。</w:t>
      </w:r>
    </w:p>
    <w:p w14:paraId="59E99F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w:t>
      </w:r>
    </w:p>
    <w:p w14:paraId="728BA2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B.1.5</w:t>
      </w:r>
    </w:p>
    <w:p w14:paraId="71D9F1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w:t>
      </w:r>
    </w:p>
    <w:p w14:paraId="510F51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w:t>
      </w:r>
    </w:p>
    <w:p w14:paraId="53B9DE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A738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32.灌浆施工时，每个工作班应检查灌浆料拌和物初始流动不少于（ ）次，确认合格后，方可灌浆。</w:t>
      </w:r>
    </w:p>
    <w:p w14:paraId="563312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A.4  </w:t>
      </w:r>
    </w:p>
    <w:p w14:paraId="005ADA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  </w:t>
      </w:r>
    </w:p>
    <w:p w14:paraId="386FCF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C.2  </w:t>
      </w:r>
    </w:p>
    <w:p w14:paraId="347755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w:t>
      </w:r>
    </w:p>
    <w:p w14:paraId="6124C4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A9E4F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33. 制叠合板进场后应堆放于地面平坦处，堆放场地应平整夯实，并（ ）堆放时底板与地面之间应有一定的空隙。</w:t>
      </w:r>
    </w:p>
    <w:p w14:paraId="06532A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A.保证地面清洁         </w:t>
      </w:r>
    </w:p>
    <w:p w14:paraId="3F880D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B.保证足够的空间  </w:t>
      </w:r>
    </w:p>
    <w:p w14:paraId="6177C8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C.设有排水措施         </w:t>
      </w:r>
    </w:p>
    <w:p w14:paraId="4B6598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D.叠加式摆放</w:t>
      </w:r>
    </w:p>
    <w:p w14:paraId="139F02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638B0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34.以下叙述不正确的是(  )</w:t>
      </w:r>
    </w:p>
    <w:p w14:paraId="57DCCB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A.预制外挂墙板吊装应沿顺时针或逆时针顺序依次吊装，不得间隔吊装。</w:t>
      </w:r>
    </w:p>
    <w:p w14:paraId="4C6A9F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B.工序检验到位，工序质量控制必须做到有可追溯性。</w:t>
      </w:r>
    </w:p>
    <w:p w14:paraId="31887A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C.吊装前准备工作充分到位，做好班前安全技术交底，明确吊装顺序。</w:t>
      </w:r>
    </w:p>
    <w:p w14:paraId="5BC91A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外挂墙板就位时对准定位线，宜一次就位，如就位偏差大于5mm，应将构件重新吊起调整，构件就位后，用靠尺、水平尺、激光水平仪等检查预制外挂墙板和板立缝的垂直度，并检查相邻两块板接缝是否平整。</w:t>
      </w:r>
    </w:p>
    <w:p w14:paraId="4D196F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3E1DB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35.预制楼板在出场质量检测时其中长度允许偏差范围正确的是：（ ）。</w:t>
      </w:r>
    </w:p>
    <w:p w14:paraId="6AB5EA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A.构件＜12m,允许偏差为±4mm；</w:t>
      </w:r>
    </w:p>
    <w:p w14:paraId="5FE652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B.构件≥12m且构件＜18m，允许偏差±15mm；</w:t>
      </w:r>
    </w:p>
    <w:p w14:paraId="21EF97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C.构件≥18m允许偏差为±20mm。</w:t>
      </w:r>
    </w:p>
    <w:p w14:paraId="7F8E59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D.构件＜12m,允许偏差为±10mm；</w:t>
      </w:r>
    </w:p>
    <w:p w14:paraId="131C80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78389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36.塔吊司机在（ ）指挥下，塔吊缓缓持力，将预制外挂墙板由倾斜状态到竖直状态，当预制外挂墙板吊离存放架，快速运至预制外挂墙板安装施工层。</w:t>
      </w:r>
    </w:p>
    <w:p w14:paraId="1C41F8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A.司索工</w:t>
      </w:r>
    </w:p>
    <w:p w14:paraId="29E4BC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B.信号工</w:t>
      </w:r>
    </w:p>
    <w:p w14:paraId="47199B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C.模板工</w:t>
      </w:r>
    </w:p>
    <w:p w14:paraId="3C7399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D.钢筋工</w:t>
      </w:r>
    </w:p>
    <w:p w14:paraId="39CADD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69118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37.当预制外挂墙板吊运至安装位置时，根据楼面上的预制外挂墙板的定位线，将预制外挂墙板缓缓下降就位，预制外挂墙板就位时，应以（ ）为准，做到外墙面顺直，墙身垂直，缝隙一致，企口缝不得错位，防止挤压偏腔。</w:t>
      </w:r>
    </w:p>
    <w:p w14:paraId="77700D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A.外墙中线</w:t>
      </w:r>
    </w:p>
    <w:p w14:paraId="20CBF32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B.外墙边线</w:t>
      </w:r>
    </w:p>
    <w:p w14:paraId="4B3B59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C.外墙内边线</w:t>
      </w:r>
    </w:p>
    <w:p w14:paraId="3EED66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D.外墙轴线</w:t>
      </w:r>
    </w:p>
    <w:p w14:paraId="347C25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9C699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38.起重高度H是指（ ）。</w:t>
      </w:r>
    </w:p>
    <w:p w14:paraId="72FDD4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A.吊钩到地面的垂直距离</w:t>
      </w:r>
    </w:p>
    <w:p w14:paraId="0EDB50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B.塔顶到停机地面的垂直距离</w:t>
      </w:r>
    </w:p>
    <w:p w14:paraId="0EB631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C.操作室到停机地面的垂直距离</w:t>
      </w:r>
    </w:p>
    <w:p w14:paraId="7E8526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D.吊钩到停机地面的垂直距离</w:t>
      </w:r>
    </w:p>
    <w:p w14:paraId="5511A8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17A00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39.关于预制剪力墙、柱的校正叙述不正确的是（ ）</w:t>
      </w:r>
    </w:p>
    <w:p w14:paraId="605F07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A.吊装工根据已弹好的预制剪力墙、柱的安装控制线和标高线，用2m长靠尺、吊线锤检查预制剪力墙、柱的平整度;</w:t>
      </w:r>
    </w:p>
    <w:p w14:paraId="38AE70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B.通过可调斜支撑微调预制剪力墙的垂直度;</w:t>
      </w:r>
    </w:p>
    <w:p w14:paraId="170C39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C.预制剪力墙、柱安装施工时应边安装边校正;</w:t>
      </w:r>
    </w:p>
    <w:p w14:paraId="4AF740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D.通过可调斜支撑微调预制柱的垂直度;</w:t>
      </w:r>
    </w:p>
    <w:p w14:paraId="0A69FF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F8CAF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 套筒接头一端采用灌浆方式连接，另一端采用非灌浆方式（通常采用螺纹连接）连接钢筋，这种灌浆套筒为（ ）。</w:t>
      </w:r>
    </w:p>
    <w:p w14:paraId="73251C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71BBC3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B3CD7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7827A8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2469BF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7E540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 镦粗直螺纹灌浆套筒的结构形式分类代号为（ ）。</w:t>
      </w:r>
    </w:p>
    <w:p w14:paraId="00F149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A.G      </w:t>
      </w:r>
    </w:p>
    <w:p w14:paraId="43AF17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B.D     </w:t>
      </w:r>
    </w:p>
    <w:p w14:paraId="2F308D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C.B       </w:t>
      </w:r>
    </w:p>
    <w:p w14:paraId="74BBF8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D.Q</w:t>
      </w:r>
    </w:p>
    <w:p w14:paraId="6A295A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F7A34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42.套筒接头两端均采用灌浆方式连接钢筋，这种灌浆套筒为（ ）。 </w:t>
      </w:r>
    </w:p>
    <w:p w14:paraId="1E4F68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67664F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5B0C7D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0924C7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62F39F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74069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43.安装预制墙板、预制柱等竖向构件时，应采用可调（ ）临时固定；支撑的位置应避免与模板支架、相邻支撑冲突。</w:t>
      </w:r>
    </w:p>
    <w:p w14:paraId="3D2827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A.横支撑</w:t>
      </w:r>
    </w:p>
    <w:p w14:paraId="487F68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B.竖支撑</w:t>
      </w:r>
    </w:p>
    <w:p w14:paraId="5ACAC1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C.斜支撑</w:t>
      </w:r>
    </w:p>
    <w:p w14:paraId="2F5B4F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D.剪刀撑</w:t>
      </w:r>
    </w:p>
    <w:p w14:paraId="5D0D8E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C1CA9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44.叠合构件上一层混凝土剪力墙吊装施工，应在剪力墙锚固的叠合构件后浇层混凝土达到( )后进行。</w:t>
      </w:r>
    </w:p>
    <w:p w14:paraId="228C964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A.1.2MPa        </w:t>
      </w:r>
    </w:p>
    <w:p w14:paraId="066E19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B.2.5MPa        </w:t>
      </w:r>
    </w:p>
    <w:p w14:paraId="48C214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C.设计强度的30%     </w:t>
      </w:r>
    </w:p>
    <w:p w14:paraId="58A5DE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D.足够强度</w:t>
      </w:r>
    </w:p>
    <w:p w14:paraId="6E4A85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BE6B4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45.下图中柔性垫片的作用表述不正确的（ ）</w:t>
      </w:r>
    </w:p>
    <w:p w14:paraId="1CAB55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drawing>
          <wp:inline distT="0" distB="0" distL="114300" distR="114300">
            <wp:extent cx="1314450" cy="787400"/>
            <wp:effectExtent l="0" t="0" r="0" b="12700"/>
            <wp:docPr id="8" name="图片 4" descr="wps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wps14"/>
                    <pic:cNvPicPr>
                      <a:picLocks noChangeAspect="1"/>
                    </pic:cNvPicPr>
                  </pic:nvPicPr>
                  <pic:blipFill>
                    <a:blip r:embed="rId8"/>
                    <a:stretch>
                      <a:fillRect/>
                    </a:stretch>
                  </pic:blipFill>
                  <pic:spPr>
                    <a:xfrm>
                      <a:off x="0" y="0"/>
                      <a:ext cx="1314450" cy="787400"/>
                    </a:xfrm>
                    <a:prstGeom prst="rect">
                      <a:avLst/>
                    </a:prstGeom>
                    <a:noFill/>
                    <a:ln>
                      <a:noFill/>
                    </a:ln>
                  </pic:spPr>
                </pic:pic>
              </a:graphicData>
            </a:graphic>
          </wp:inline>
        </w:drawing>
      </w:r>
    </w:p>
    <w:p w14:paraId="73F757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A.不起作用</w:t>
      </w:r>
    </w:p>
    <w:p w14:paraId="72E403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B.防止坐浆料进入灌浆套筒内部</w:t>
      </w:r>
    </w:p>
    <w:p w14:paraId="3064E65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C.防止灌浆料流出套筒</w:t>
      </w:r>
    </w:p>
    <w:p w14:paraId="29E534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D.确保套筒内部浆料的饱满度</w:t>
      </w:r>
    </w:p>
    <w:p w14:paraId="591A1D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9E516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46.预制板安装完毕后，其底面标高用（ ）检查。</w:t>
      </w:r>
    </w:p>
    <w:p w14:paraId="44987D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A.经纬仪  </w:t>
      </w:r>
    </w:p>
    <w:p w14:paraId="291DFC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B.水准仪  </w:t>
      </w:r>
    </w:p>
    <w:p w14:paraId="7E68F5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C.垂线  </w:t>
      </w:r>
    </w:p>
    <w:p w14:paraId="1BA6BE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D.塞尺</w:t>
      </w:r>
    </w:p>
    <w:p w14:paraId="66ECD2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6517D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47.GTJB536/32A表示（ ）。</w:t>
      </w:r>
    </w:p>
    <w:p w14:paraId="1F4AA8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A.采用机械加工方式加工的剥肋滚轧直螺纹灌浆套筒，第一次变型，连接 标准屈服强度为500MPa钢筋，灌浆端连接直径32mm的钢筋，非灌浆端连接直径36mm的钢筋。</w:t>
      </w:r>
    </w:p>
    <w:p w14:paraId="0E2555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B.采用机械加工方式加工的剥肋滚轧直螺纹灌浆套筒，第一次变型，连接 标准屈服强度为500MPa钢筋，灌浆端连接直径36mm的钢筋，非灌浆端连接直径32mm的钢筋。</w:t>
      </w:r>
    </w:p>
    <w:p w14:paraId="495955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C.采用铸造加工的剥肋滚轧直螺纹灌浆套筒，第一次变型，连接标准屈服 强度为500MPa钢筋，灌浆端连接直径36mm的钢筋，非灌浆端连接直径32mm的钢筋。</w:t>
      </w:r>
    </w:p>
    <w:p w14:paraId="0342C8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D.采用机械加工方式加工的剥肋滚轧直螺纹灌浆套筒，第一次变型，连接 标准抗拉强度为500MPa钢筋，灌浆端连接直径36mm的钢筋，非灌浆端连接直径32mm的钢筋。</w:t>
      </w:r>
    </w:p>
    <w:p w14:paraId="341001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5182C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48.预制构件模具组装完毕后，检测对角线差允许偏差为（ ）。</w:t>
      </w:r>
    </w:p>
    <w:p w14:paraId="6B76F1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4D167B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727B0B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756297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625099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1094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49.预留钢筋定位精度对( )有重要影响。</w:t>
      </w:r>
    </w:p>
    <w:p w14:paraId="1C2E62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A.钢筋连接        </w:t>
      </w:r>
    </w:p>
    <w:p w14:paraId="3A94F5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B.预制构件安装      </w:t>
      </w:r>
    </w:p>
    <w:p w14:paraId="7FA401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C.混凝土浇筑      </w:t>
      </w:r>
    </w:p>
    <w:p w14:paraId="51DB05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D.模板支设</w:t>
      </w:r>
    </w:p>
    <w:p w14:paraId="5A5EF8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7517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50.以下不符合预制构件吊装规定的是（ ）。</w:t>
      </w:r>
    </w:p>
    <w:p w14:paraId="0F2488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A.应根据当天的作业内容进行班前技术安全交底。</w:t>
      </w:r>
    </w:p>
    <w:p w14:paraId="0794FA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B.预制构件应按照吊装顺序预先编号</w:t>
      </w:r>
    </w:p>
    <w:p w14:paraId="795FB6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C.预制构件吊装时不需按编号顺序起吊。</w:t>
      </w:r>
    </w:p>
    <w:p w14:paraId="67E729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D.预制构件在吊装过程，宜设置缆风绳控制构件转动。</w:t>
      </w:r>
    </w:p>
    <w:p w14:paraId="2A4136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2E41D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5717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3C261E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 预制钢筋混凝土楼梯是将楼梯分成（   ）和（   ）两部分。</w:t>
      </w:r>
    </w:p>
    <w:p w14:paraId="1D6CBE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A.踏步板</w:t>
      </w:r>
    </w:p>
    <w:p w14:paraId="6FC524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B.踢脚板</w:t>
      </w:r>
    </w:p>
    <w:p w14:paraId="791888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C.休息平台板</w:t>
      </w:r>
    </w:p>
    <w:p w14:paraId="3D3D18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D.栏杆扶手</w:t>
      </w:r>
    </w:p>
    <w:p w14:paraId="6BECFB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E.楼梯段</w:t>
      </w:r>
    </w:p>
    <w:p w14:paraId="7D6779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AF55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2.普通混凝土配合比设计的基本要求为（ ）。</w:t>
      </w:r>
    </w:p>
    <w:p w14:paraId="326AB8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A.满足强度要求</w:t>
      </w:r>
    </w:p>
    <w:p w14:paraId="433CF5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B.满足混凝土抗裂要求</w:t>
      </w:r>
    </w:p>
    <w:p w14:paraId="14A267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C.满足和易性要求</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D.满足耐久性要求 </w:t>
      </w:r>
    </w:p>
    <w:p w14:paraId="357A76D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E.降低成本</w:t>
      </w:r>
    </w:p>
    <w:p w14:paraId="362E24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3428D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 预制混凝土楼板拉毛操作时间应根据（  ）等因素综合把控，过早拉毛会导致粗糙度降低，过晚会导致拉毛困难甚至影响混凝土表面强度。</w:t>
      </w:r>
    </w:p>
    <w:p w14:paraId="4B3CCE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A.混凝土配合比     </w:t>
      </w:r>
    </w:p>
    <w:p w14:paraId="76DA8A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B.混凝土强度     </w:t>
      </w:r>
    </w:p>
    <w:p w14:paraId="38EFD5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C.气温    </w:t>
      </w:r>
    </w:p>
    <w:p w14:paraId="63CCCE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D.空气湿度     </w:t>
      </w:r>
    </w:p>
    <w:p w14:paraId="431163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E.模板用途</w:t>
      </w:r>
    </w:p>
    <w:p w14:paraId="0D227E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491D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2FD53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4.根据标准图集《预制混凝土剪力墙外墙板》（15G365-1）中夹心墙板模板图中的主视图，可知墙板的哪些相关尺寸（ ）。</w:t>
      </w:r>
    </w:p>
    <w:p w14:paraId="3B8872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A.墙板长度</w:t>
      </w:r>
    </w:p>
    <w:p w14:paraId="7C9996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B.墙板高度</w:t>
      </w:r>
    </w:p>
    <w:p w14:paraId="2B378D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C.窗孔的长和宽度</w:t>
      </w:r>
    </w:p>
    <w:p w14:paraId="0D4C6D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D.墙板厚度  </w:t>
      </w:r>
    </w:p>
    <w:p w14:paraId="480ECE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E.窗孔四边距离墙板间的尺寸</w:t>
      </w:r>
    </w:p>
    <w:p w14:paraId="7B1517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421D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5.叠合板模具的边模可分为固定式边模和（  ）。</w:t>
      </w:r>
    </w:p>
    <w:p w14:paraId="4A8406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A.钢板边模</w:t>
      </w:r>
    </w:p>
    <w:p w14:paraId="45F4E6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B.橡胶边摸</w:t>
      </w:r>
    </w:p>
    <w:p w14:paraId="5F48A3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C.通长边模       </w:t>
      </w:r>
    </w:p>
    <w:p w14:paraId="00BF71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D.角钢边模     </w:t>
      </w:r>
    </w:p>
    <w:p w14:paraId="4B84E4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E.槽钢边模</w:t>
      </w:r>
    </w:p>
    <w:p w14:paraId="443765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4434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6.下列说法正确的是（ ）</w:t>
      </w:r>
    </w:p>
    <w:p w14:paraId="7FA0E0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A.预制构件脱模起吊时，应根据设计要求或具体生产条件确定所需的混凝土立方体抗压强度。</w:t>
      </w:r>
    </w:p>
    <w:p w14:paraId="59D0D8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B.垫木或垫块在构件下的位置宜与脱模、吊装时的起吊位置一致；</w:t>
      </w:r>
    </w:p>
    <w:p w14:paraId="3BFC5C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C.重叠堆放构件时，每层构件间的垫木或垫块应在同一垂直线上；</w:t>
      </w:r>
    </w:p>
    <w:p w14:paraId="5B72EA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D.堆垛层数应根据构件与垫木或垫块的承载能力及堆垛的稳定性确定；</w:t>
      </w:r>
    </w:p>
    <w:p w14:paraId="62A040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E.堆放构件时最下层构件应垫实，预埋吊件向下，标志向外。</w:t>
      </w:r>
    </w:p>
    <w:p w14:paraId="38DD7E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40EB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7.监理单位对套筒灌浆连接施工中，应进行（）验收。（      ）</w:t>
      </w:r>
    </w:p>
    <w:p w14:paraId="698882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A.灌浆套筒进厂(场)外观质量、标识和尺寸偏差检验</w:t>
      </w:r>
    </w:p>
    <w:p w14:paraId="34F65B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B.灌浆套筒进厂(场)接头力学性能检验，部分检验可与工艺检验合并进行</w:t>
      </w:r>
    </w:p>
    <w:p w14:paraId="6A2C99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C.预制构件进厂验收</w:t>
      </w:r>
    </w:p>
    <w:p w14:paraId="4C0779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D.灌浆安全检验</w:t>
      </w:r>
    </w:p>
    <w:p w14:paraId="55C5D6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E.无需验收</w:t>
      </w:r>
    </w:p>
    <w:p w14:paraId="21B5FC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B2DB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8.依据《钢筋套筒灌浆连接应用技术规程》JGJ355－2015中5.0.3条，每种套筒灌浆连接接头型式检验的试件数量与检测项目应符合规定，说法不正确的是  (      )</w:t>
      </w:r>
    </w:p>
    <w:p w14:paraId="31929A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A.对中接头试件应为9个，其中3个做单向拉伸试验、3个做高应力反复拉压试验、3个做大变形反复拉压试验</w:t>
      </w:r>
    </w:p>
    <w:p w14:paraId="604CF8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B.偏置接头试件应为3个，做单向拉伸试验</w:t>
      </w:r>
    </w:p>
    <w:p w14:paraId="03F32C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C.钢筋试件应为9个，做单向拉伸试验</w:t>
      </w:r>
    </w:p>
    <w:p w14:paraId="22ED76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D.全部试件的钢筋均应在同宜炉(批)号的1根或2根钢筋上截取</w:t>
      </w:r>
    </w:p>
    <w:p w14:paraId="0AF9BA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E.钢筋试件应为3个，做双向拉伸试验</w:t>
      </w:r>
    </w:p>
    <w:p w14:paraId="2980E3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09179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9.预制构件验收合格后，应在明显的部位标识（ ）。</w:t>
      </w:r>
    </w:p>
    <w:p w14:paraId="77F2D36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A.构件型号    </w:t>
      </w:r>
    </w:p>
    <w:p w14:paraId="39A5C5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B.生产日期   </w:t>
      </w:r>
    </w:p>
    <w:p w14:paraId="278B36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C.质量验收合格标志    </w:t>
      </w:r>
    </w:p>
    <w:p w14:paraId="22AA57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D.粘贴二维码</w:t>
      </w:r>
    </w:p>
    <w:p w14:paraId="7BF847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E.验收人员姓名</w:t>
      </w:r>
    </w:p>
    <w:p w14:paraId="7ECA41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03E75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10.预制墙板的混凝土制作准备工作，水泥进场时必须对（  ）进行检查。</w:t>
      </w:r>
    </w:p>
    <w:p w14:paraId="673758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A.出厂合格证和试验报告单</w:t>
      </w:r>
    </w:p>
    <w:p w14:paraId="51466C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B.出厂合格证或试验报告单</w:t>
      </w:r>
    </w:p>
    <w:p w14:paraId="15AD62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C.水泥品种、级别、包装</w:t>
      </w:r>
    </w:p>
    <w:p w14:paraId="37ABB8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D.散装水泥的仓号、出厂日期</w:t>
      </w:r>
    </w:p>
    <w:p w14:paraId="51DBC1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E.散装水泥的仓号、出仓日期</w:t>
      </w:r>
    </w:p>
    <w:p w14:paraId="7688AE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4A64A4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11.下列关于钢筋套筒连接抗拉强度检验试验方法说法正确的是（      ）</w:t>
      </w:r>
    </w:p>
    <w:p w14:paraId="2A7C905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A.每一检验批需在构件加工厂选取3个有代表性的接头试件</w:t>
      </w:r>
    </w:p>
    <w:p w14:paraId="07BA07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B.每一检验批需在构件加工厂选取6个有代表性的接头试件</w:t>
      </w:r>
    </w:p>
    <w:p w14:paraId="06BFF9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C.每一检验批需在构件加工厂选取9个有代表性的接头试件</w:t>
      </w:r>
    </w:p>
    <w:p w14:paraId="0DE1B7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D.抗拉强度试验，应按现行行业标准《钢筋机械连接技术规程》JGJ107中Ⅰ级接头的要求进行评定</w:t>
      </w:r>
    </w:p>
    <w:p w14:paraId="2747B60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E.每一检验批需在构件加工厂选取9个有代表性的接头试件</w:t>
      </w:r>
    </w:p>
    <w:p w14:paraId="051E2E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1EC26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 墙板养护要求叙述正确的是（  ）。</w:t>
      </w:r>
    </w:p>
    <w:p w14:paraId="0B88D3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A.预制构件脱模后可继续养护，养护可采用水养、洒水、覆盖和喷涂养护剂等一种；</w:t>
      </w:r>
    </w:p>
    <w:p w14:paraId="1B34BE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B.预制构件脱模后可继续养护，养护可采用水养、洒水、覆盖和喷涂养护剂等几种相结合的方式；</w:t>
      </w:r>
    </w:p>
    <w:p w14:paraId="518C29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C.水养和洒水养护的养护用水应使用回收水；</w:t>
      </w:r>
    </w:p>
    <w:p w14:paraId="091F7E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D.水中养护应避免预制构件与养护池水有过大的温差；</w:t>
      </w:r>
    </w:p>
    <w:p w14:paraId="184A2D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E.洒水养护次数以能保持构件处于润湿状态为度，且不宜采用不加覆盖仅靠构件表面洒水的养护方法。</w:t>
      </w:r>
    </w:p>
    <w:p w14:paraId="70B4CC4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30D95F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13.半灌浆套筒连接钢筋的直螺纹丝头加工(  )。</w:t>
      </w:r>
    </w:p>
    <w:p w14:paraId="1B3ED4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A.丝头参数应满足厂家提供的作业指导书规定要求；</w:t>
      </w:r>
    </w:p>
    <w:p w14:paraId="545842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B.使用螺纹环规检查钢筋丝头螺纹直径；</w:t>
      </w:r>
    </w:p>
    <w:p w14:paraId="58EF45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C.环规通端丝头应能顺利旋入，止端丝头旋入量不能超过3P（P为丝头螺距）；</w:t>
      </w:r>
    </w:p>
    <w:p w14:paraId="6E4E51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D.目测丝头牙型，不完整牙累计不得超过2圈。 </w:t>
      </w:r>
    </w:p>
    <w:p w14:paraId="4D9108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E.操作者80%自检，合格的报验，不合格的切掉重新加工。 </w:t>
      </w:r>
    </w:p>
    <w:p w14:paraId="4FF867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7A30C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 堆放预应力预制构件时，应该根据预制构件（ ）采取相应的措施。</w:t>
      </w:r>
    </w:p>
    <w:p w14:paraId="1528DA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A.起拱值的大小    </w:t>
      </w:r>
    </w:p>
    <w:p w14:paraId="5B64814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B.板面弯曲度    </w:t>
      </w:r>
    </w:p>
    <w:p w14:paraId="39C07B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C.堆放时间    </w:t>
      </w:r>
    </w:p>
    <w:p w14:paraId="284712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D.预制构件种类</w:t>
      </w:r>
    </w:p>
    <w:p w14:paraId="498FA8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E.预制构件的大小</w:t>
      </w:r>
    </w:p>
    <w:p w14:paraId="273C29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A0447D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 预制构件需要采用水平码放储存和运输的有（ ）。</w:t>
      </w:r>
    </w:p>
    <w:p w14:paraId="2144C8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A.叠合板     </w:t>
      </w:r>
    </w:p>
    <w:p w14:paraId="66C0C5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B.墙板     </w:t>
      </w:r>
    </w:p>
    <w:p w14:paraId="0C621D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C.楼梯     </w:t>
      </w:r>
    </w:p>
    <w:p w14:paraId="2B05D4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D.梁     </w:t>
      </w:r>
    </w:p>
    <w:p w14:paraId="19A905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E.柱</w:t>
      </w:r>
    </w:p>
    <w:p w14:paraId="0433D3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35751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57CEDF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1.装配式混凝土预制外挂板吊装时，在完成垂直度、标高的调整之后才能拆除斜支撑。(    ) </w:t>
      </w:r>
    </w:p>
    <w:p w14:paraId="366342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2.施工安全保证措施包括:组织保障措施、技术措施、文明施工等。(    )</w:t>
      </w:r>
    </w:p>
    <w:p w14:paraId="18FFA7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3.预制构件吊装前的质量检查中，当设计无具体要求时，大型构件(大孔洞梁、屋架)要达到混凝土设计强度的75%。(    )</w:t>
      </w:r>
    </w:p>
    <w:p w14:paraId="22BC51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4.预制楼梯的安装过程中，预制楼梯上下必须都与平台板锚固连接。(    ) </w:t>
      </w:r>
    </w:p>
    <w:p w14:paraId="2D8B5B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5.采用连通腔灌浆方式时，灌浆施工前应对各连通灌浆区域进行封堵，且封堵材料不应减小结合面的设计面积。(   )</w:t>
      </w:r>
    </w:p>
    <w:p w14:paraId="563FF0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6.预制构件与后浇混凝土的结合面或叠合面应按设计要求制成粗糙面和键槽。(    )</w:t>
      </w:r>
    </w:p>
    <w:p w14:paraId="6DF60D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7.装配式混凝土预制楼梯吊装时,采用滑动支座,楼梯直接搁置在梁上,不需要支撑。(    )</w:t>
      </w:r>
    </w:p>
    <w:p w14:paraId="1365A5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8.装配式混凝土预制柱临时支撑在灌浆之后就可拆除。(    )</w:t>
      </w:r>
    </w:p>
    <w:p w14:paraId="3D7D05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9.构件安装过程中的临时固定和支撑措施应可靠，并满足强度、刚度、稳定性要求。(    )</w:t>
      </w:r>
    </w:p>
    <w:p w14:paraId="004365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10.水平角观测的方法有测回法、方向观测法两种形式。（    ）</w:t>
      </w:r>
    </w:p>
    <w:p w14:paraId="3499B9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11.灌浆料拌合物应在制备后 30min内用完。(    )</w:t>
      </w:r>
    </w:p>
    <w:p w14:paraId="086DD0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12.水平构件吊装应采用慢起、快升、缓放的操作方式。(    )</w:t>
      </w:r>
    </w:p>
    <w:p w14:paraId="77D22F5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13.钢筋套筒灌浆连接应用于装配式混凝土结构中竖向构件钢筋对接时，钢筋灌浆套筒在竖向预制构件顶部时，连接时在灌浆套筒中插入带肋钢筋后注入灌浆料拌合物。(    )</w:t>
      </w:r>
    </w:p>
    <w:p w14:paraId="556F59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14.通过套筒灌浆连接的连接钢筋可在预制剪力墙中通长设置。(    )</w:t>
      </w:r>
    </w:p>
    <w:p w14:paraId="2BD7B9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15.接头一端采用灌浆方式连接，另一端采用非灌浆方式连接钢筋的灌浆套筒，通常另一端采用螺纹连接。一般用于预制墙、柱主筋的连接。(    )</w:t>
      </w:r>
    </w:p>
    <w:p w14:paraId="0DF8DB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16.高差起伏较大地区，进行高差闭合差调整时通常按测站数进行改正。(    )</w:t>
      </w:r>
    </w:p>
    <w:p w14:paraId="1EF7AC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17.预制构件生产的质量检验应按模具、钢筋、混凝土、预应力、预制构件等检验进行。（    ）</w:t>
      </w:r>
    </w:p>
    <w:p w14:paraId="1EA862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18.将水泥基灌浆材料倒入截锥圆模内，直至浆体与截锥圆模上口持平；徐徐提前截锥圆模，让浆体在无扰动的条件下自由流动直至停止。(    )</w:t>
      </w:r>
    </w:p>
    <w:p w14:paraId="3CE454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19.钢筋套筒连接接头的屈服强度不应小于连接钢筋屈服强度标准值。（  ）</w:t>
      </w:r>
    </w:p>
    <w:p w14:paraId="1E7C4C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20.预制混凝土楼梯与支承构件之间宜采用固定端连接。(    )</w:t>
      </w:r>
    </w:p>
    <w:p w14:paraId="21827007">
      <w:pPr>
        <w:pStyle w:val="14"/>
        <w:jc w:val="center"/>
        <w:rPr>
          <w:rFonts w:ascii="仿宋_GB2312" w:hAnsi="仿宋_GB2312" w:eastAsia="仿宋_GB2312" w:cs="仿宋_GB2312"/>
          <w:b/>
          <w:sz w:val="30"/>
          <w:szCs w:val="30"/>
        </w:rPr>
      </w:pPr>
    </w:p>
    <w:p w14:paraId="241079B0">
      <w:pPr>
        <w:pStyle w:val="14"/>
        <w:jc w:val="center"/>
        <w:rPr>
          <w:rFonts w:ascii="仿宋_GB2312" w:hAnsi="仿宋_GB2312" w:eastAsia="仿宋_GB2312" w:cs="仿宋_GB2312"/>
          <w:b/>
          <w:sz w:val="30"/>
          <w:szCs w:val="30"/>
        </w:rPr>
      </w:pPr>
    </w:p>
    <w:p w14:paraId="271910CF">
      <w:pPr>
        <w:pStyle w:val="14"/>
        <w:jc w:val="center"/>
        <w:rPr>
          <w:rFonts w:ascii="仿宋_GB2312" w:hAnsi="仿宋_GB2312" w:eastAsia="仿宋_GB2312" w:cs="仿宋_GB2312"/>
          <w:b/>
          <w:sz w:val="30"/>
          <w:szCs w:val="30"/>
        </w:rPr>
      </w:pPr>
    </w:p>
    <w:p w14:paraId="07A68DB3">
      <w:pPr>
        <w:pStyle w:val="14"/>
        <w:jc w:val="center"/>
        <w:rPr>
          <w:rFonts w:ascii="仿宋_GB2312" w:hAnsi="仿宋_GB2312" w:eastAsia="仿宋_GB2312" w:cs="仿宋_GB2312"/>
          <w:b/>
          <w:sz w:val="30"/>
          <w:szCs w:val="30"/>
        </w:rPr>
      </w:pPr>
    </w:p>
    <w:p w14:paraId="1B96BDDB">
      <w:pPr>
        <w:pStyle w:val="14"/>
        <w:jc w:val="center"/>
        <w:rPr>
          <w:rFonts w:ascii="仿宋_GB2312" w:hAnsi="仿宋_GB2312" w:eastAsia="仿宋_GB2312" w:cs="仿宋_GB2312"/>
          <w:b/>
          <w:sz w:val="30"/>
          <w:szCs w:val="30"/>
        </w:rPr>
      </w:pPr>
    </w:p>
    <w:p w14:paraId="00FE4C62">
      <w:pPr>
        <w:pStyle w:val="14"/>
        <w:jc w:val="center"/>
        <w:rPr>
          <w:rFonts w:ascii="仿宋_GB2312" w:hAnsi="仿宋_GB2312" w:eastAsia="仿宋_GB2312" w:cs="仿宋_GB2312"/>
          <w:b/>
          <w:sz w:val="30"/>
          <w:szCs w:val="30"/>
        </w:rPr>
      </w:pPr>
    </w:p>
    <w:p w14:paraId="36C50C91">
      <w:pPr>
        <w:pStyle w:val="14"/>
        <w:jc w:val="center"/>
        <w:rPr>
          <w:rFonts w:ascii="仿宋_GB2312" w:hAnsi="仿宋_GB2312" w:eastAsia="仿宋_GB2312" w:cs="仿宋_GB2312"/>
          <w:b/>
          <w:sz w:val="30"/>
          <w:szCs w:val="30"/>
        </w:rPr>
      </w:pPr>
    </w:p>
    <w:p w14:paraId="407FDCA9">
      <w:pPr>
        <w:pStyle w:val="14"/>
        <w:jc w:val="center"/>
        <w:rPr>
          <w:rFonts w:ascii="仿宋_GB2312" w:hAnsi="仿宋_GB2312" w:eastAsia="仿宋_GB2312" w:cs="仿宋_GB2312"/>
          <w:b/>
          <w:sz w:val="30"/>
          <w:szCs w:val="30"/>
        </w:rPr>
      </w:pPr>
    </w:p>
    <w:p w14:paraId="0441175D">
      <w:pPr>
        <w:pStyle w:val="14"/>
        <w:jc w:val="center"/>
        <w:rPr>
          <w:rFonts w:ascii="仿宋_GB2312" w:hAnsi="仿宋_GB2312" w:eastAsia="仿宋_GB2312" w:cs="仿宋_GB2312"/>
          <w:b/>
          <w:sz w:val="30"/>
          <w:szCs w:val="30"/>
        </w:rPr>
      </w:pPr>
    </w:p>
    <w:p w14:paraId="502A07B4">
      <w:pPr>
        <w:pStyle w:val="14"/>
        <w:jc w:val="center"/>
        <w:rPr>
          <w:rFonts w:ascii="仿宋_GB2312" w:hAnsi="仿宋_GB2312" w:eastAsia="仿宋_GB2312" w:cs="仿宋_GB2312"/>
          <w:b/>
          <w:sz w:val="30"/>
          <w:szCs w:val="30"/>
        </w:rPr>
      </w:pPr>
    </w:p>
    <w:p w14:paraId="777651B7">
      <w:pPr>
        <w:pStyle w:val="14"/>
        <w:rPr>
          <w:rFonts w:ascii="仿宋_GB2312" w:hAnsi="仿宋_GB2312" w:eastAsia="仿宋_GB2312" w:cs="仿宋_GB2312"/>
          <w:b/>
          <w:sz w:val="30"/>
          <w:szCs w:val="30"/>
        </w:rPr>
      </w:pPr>
    </w:p>
    <w:p w14:paraId="1129C4B5">
      <w:pPr>
        <w:pStyle w:val="14"/>
        <w:jc w:val="center"/>
        <w:rPr>
          <w:rFonts w:ascii="仿宋_GB2312" w:hAnsi="仿宋_GB2312" w:eastAsia="仿宋_GB2312" w:cs="仿宋_GB2312"/>
          <w:b/>
          <w:sz w:val="30"/>
          <w:szCs w:val="30"/>
        </w:rPr>
      </w:pPr>
    </w:p>
    <w:p w14:paraId="5253CAE8">
      <w:pPr>
        <w:pStyle w:val="25"/>
        <w:spacing w:line="619" w:lineRule="exact"/>
        <w:ind w:firstLine="0"/>
        <w:jc w:val="center"/>
        <w:rPr>
          <w:b/>
          <w:bCs/>
          <w:sz w:val="32"/>
          <w:szCs w:val="32"/>
        </w:rPr>
      </w:pPr>
    </w:p>
    <w:p w14:paraId="739C122D">
      <w:pPr>
        <w:pStyle w:val="25"/>
        <w:spacing w:line="619" w:lineRule="exact"/>
        <w:ind w:firstLine="0"/>
        <w:jc w:val="center"/>
        <w:rPr>
          <w:b/>
          <w:bCs/>
          <w:sz w:val="32"/>
          <w:szCs w:val="32"/>
        </w:rPr>
      </w:pPr>
      <w:r>
        <w:rPr>
          <w:rFonts w:hint="eastAsia"/>
          <w:b/>
          <w:bCs/>
          <w:sz w:val="32"/>
          <w:szCs w:val="32"/>
        </w:rPr>
        <w:t>模块二 虚拟仿真竞赛试卷</w:t>
      </w:r>
    </w:p>
    <w:p w14:paraId="457237C4">
      <w:pPr>
        <w:pStyle w:val="14"/>
        <w:spacing w:line="418" w:lineRule="auto"/>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D237F0">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w:t>
      </w:r>
      <w:r>
        <w:rPr>
          <w:rFonts w:ascii="仿宋_GB2312" w:hAnsi="仿宋_GB2312" w:eastAsia="仿宋_GB2312" w:cs="仿宋_GB2312"/>
          <w:color w:val="000000"/>
          <w:kern w:val="0"/>
          <w:szCs w:val="28"/>
          <w:lang w:bidi="ar"/>
        </w:rPr>
        <w:t>2</w:t>
      </w:r>
      <w:r>
        <w:rPr>
          <w:rFonts w:hint="eastAsia" w:ascii="仿宋_GB2312" w:hAnsi="仿宋_GB2312" w:eastAsia="仿宋_GB2312" w:cs="仿宋_GB2312"/>
          <w:color w:val="000000"/>
          <w:kern w:val="0"/>
          <w:szCs w:val="28"/>
          <w:lang w:bidi="ar"/>
        </w:rPr>
        <w:t>。</w:t>
      </w:r>
    </w:p>
    <w:p w14:paraId="20B8D4F2">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6DCE0AD3">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1482225D">
      <w:pPr>
        <w:pStyle w:val="14"/>
        <w:spacing w:line="418" w:lineRule="auto"/>
        <w:ind w:firstLine="560" w:firstLineChars="200"/>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5F6CF7DD">
      <w:pPr>
        <w:pStyle w:val="25"/>
        <w:spacing w:line="619" w:lineRule="exact"/>
        <w:ind w:firstLine="0"/>
        <w:jc w:val="center"/>
        <w:rPr>
          <w:b/>
          <w:bCs/>
          <w:sz w:val="32"/>
          <w:szCs w:val="32"/>
        </w:rPr>
      </w:pPr>
      <w:r>
        <w:rPr>
          <w:rFonts w:hint="eastAsia"/>
          <w:b/>
          <w:bCs/>
          <w:sz w:val="32"/>
          <w:szCs w:val="32"/>
        </w:rPr>
        <w:t>任务一：装配式构件安装虚拟仿真</w:t>
      </w:r>
    </w:p>
    <w:p w14:paraId="726DCE52">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w:t>
      </w:r>
      <w:r>
        <w:rPr>
          <w:rFonts w:ascii="仿宋_GB2312" w:hAnsi="仿宋_GB2312" w:eastAsia="仿宋_GB2312" w:cs="仿宋_GB2312"/>
          <w:color w:val="000000"/>
          <w:kern w:val="0"/>
          <w:szCs w:val="28"/>
          <w:lang w:bidi="ar"/>
        </w:rPr>
        <w:t>构件</w:t>
      </w:r>
      <w:r>
        <w:rPr>
          <w:rFonts w:hint="eastAsia" w:ascii="仿宋_GB2312" w:hAnsi="仿宋_GB2312" w:eastAsia="仿宋_GB2312" w:cs="仿宋_GB2312"/>
          <w:color w:val="000000"/>
          <w:kern w:val="0"/>
          <w:szCs w:val="28"/>
          <w:lang w:bidi="ar"/>
        </w:rPr>
        <w:t>安装虚拟仿真</w:t>
      </w:r>
      <w:r>
        <w:rPr>
          <w:rFonts w:ascii="仿宋_GB2312" w:hAnsi="仿宋_GB2312" w:eastAsia="仿宋_GB2312" w:cs="仿宋_GB2312"/>
          <w:color w:val="000000"/>
          <w:kern w:val="0"/>
          <w:szCs w:val="28"/>
          <w:lang w:bidi="ar"/>
        </w:rPr>
        <w:t>需包括构件吊装</w:t>
      </w:r>
      <w:r>
        <w:rPr>
          <w:rFonts w:hint="eastAsia" w:ascii="仿宋_GB2312" w:hAnsi="仿宋_GB2312" w:eastAsia="仿宋_GB2312" w:cs="仿宋_GB2312"/>
          <w:color w:val="000000"/>
          <w:kern w:val="0"/>
          <w:szCs w:val="28"/>
          <w:lang w:bidi="ar"/>
        </w:rPr>
        <w:t>与节点</w:t>
      </w:r>
      <w:r>
        <w:rPr>
          <w:rFonts w:ascii="仿宋_GB2312" w:hAnsi="仿宋_GB2312" w:eastAsia="仿宋_GB2312" w:cs="仿宋_GB2312"/>
          <w:color w:val="000000"/>
          <w:kern w:val="0"/>
          <w:szCs w:val="28"/>
          <w:lang w:bidi="ar"/>
        </w:rPr>
        <w:t>连接</w:t>
      </w:r>
      <w:r>
        <w:rPr>
          <w:rFonts w:hint="eastAsia" w:ascii="仿宋_GB2312" w:hAnsi="仿宋_GB2312" w:eastAsia="仿宋_GB2312" w:cs="仿宋_GB2312"/>
          <w:color w:val="000000"/>
          <w:kern w:val="0"/>
          <w:szCs w:val="28"/>
          <w:lang w:bidi="ar"/>
        </w:rPr>
        <w:t>。</w:t>
      </w:r>
    </w:p>
    <w:p w14:paraId="79911559">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4DECF762">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16DB54C7">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w:t>
      </w:r>
      <w:r>
        <w:rPr>
          <w:rFonts w:ascii="仿宋_GB2312" w:hAnsi="仿宋_GB2312" w:eastAsia="仿宋_GB2312" w:cs="仿宋_GB2312"/>
          <w:color w:val="000000"/>
          <w:kern w:val="0"/>
          <w:szCs w:val="28"/>
          <w:lang w:bidi="ar"/>
        </w:rPr>
        <w:t>连接</w:t>
      </w:r>
    </w:p>
    <w:p w14:paraId="77501887">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56C9E2C3">
      <w:pPr>
        <w:widowControl/>
        <w:spacing w:line="418" w:lineRule="auto"/>
        <w:ind w:firstLine="560" w:firstLineChars="200"/>
        <w:rPr>
          <w:sz w:val="28"/>
          <w:szCs w:val="28"/>
          <w:lang w:bidi="ar"/>
        </w:rPr>
      </w:pPr>
    </w:p>
    <w:p w14:paraId="1A0D2616">
      <w:pPr>
        <w:pStyle w:val="25"/>
        <w:spacing w:line="619" w:lineRule="exact"/>
        <w:ind w:firstLine="0"/>
        <w:jc w:val="center"/>
        <w:rPr>
          <w:b/>
          <w:bCs/>
          <w:sz w:val="32"/>
          <w:szCs w:val="32"/>
        </w:rPr>
      </w:pPr>
      <w:r>
        <w:rPr>
          <w:rFonts w:hint="eastAsia"/>
          <w:b/>
          <w:bCs/>
          <w:sz w:val="32"/>
          <w:szCs w:val="32"/>
        </w:rPr>
        <w:t>任务二：装配式构件灌浆虚拟仿真</w:t>
      </w:r>
    </w:p>
    <w:p w14:paraId="642284AD">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w:t>
      </w:r>
      <w:r>
        <w:rPr>
          <w:rFonts w:ascii="仿宋_GB2312" w:hAnsi="仿宋_GB2312" w:eastAsia="仿宋_GB2312" w:cs="仿宋_GB2312"/>
          <w:color w:val="000000"/>
          <w:kern w:val="0"/>
          <w:sz w:val="28"/>
          <w:szCs w:val="28"/>
          <w:lang w:bidi="ar"/>
        </w:rPr>
        <w:t>包括</w:t>
      </w:r>
      <w:r>
        <w:rPr>
          <w:rFonts w:hint="eastAsia" w:ascii="仿宋_GB2312" w:hAnsi="仿宋_GB2312" w:eastAsia="仿宋_GB2312" w:cs="仿宋_GB2312"/>
          <w:color w:val="000000"/>
          <w:kern w:val="0"/>
          <w:sz w:val="28"/>
          <w:szCs w:val="28"/>
          <w:lang w:bidi="ar"/>
        </w:rPr>
        <w:t>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6CF6B8C2">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501AE522">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32D53087">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1、本竞赛环节为3人合作竞技项目，3人合作完成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7DACFBE2">
      <w:pPr>
        <w:pStyle w:val="14"/>
        <w:ind w:firstLine="560" w:firstLineChars="200"/>
        <w:rPr>
          <w:rFonts w:ascii="仿宋_GB2312" w:hAnsi="仿宋_GB2312" w:eastAsia="仿宋_GB2312" w:cs="仿宋_GB2312"/>
          <w:szCs w:val="28"/>
        </w:rPr>
      </w:pPr>
      <w:bookmarkStart w:id="1" w:name="_GoBack"/>
      <w:bookmarkEnd w:id="1"/>
      <w:r>
        <w:rPr>
          <w:rFonts w:hint="eastAsia" w:ascii="仿宋_GB2312" w:hAnsi="仿宋_GB2312" w:eastAsia="仿宋_GB2312" w:cs="仿宋_GB2312"/>
          <w:szCs w:val="28"/>
        </w:rPr>
        <w:t>2、本竞赛环节总时长为连续90分钟。</w:t>
      </w:r>
    </w:p>
    <w:p w14:paraId="7047F7A6">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13F48089">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25F3CA88">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14AD972E">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628D7608">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67F60531">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628765" cy="3491230"/>
            <wp:effectExtent l="0" t="0" r="63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rcRect l="14215" r="14513" b="6088"/>
                    <a:stretch>
                      <a:fillRect/>
                    </a:stretch>
                  </pic:blipFill>
                  <pic:spPr>
                    <a:xfrm>
                      <a:off x="0" y="0"/>
                      <a:ext cx="6628765" cy="3491230"/>
                    </a:xfrm>
                    <a:prstGeom prst="rect">
                      <a:avLst/>
                    </a:prstGeom>
                    <a:noFill/>
                    <a:ln>
                      <a:noFill/>
                    </a:ln>
                  </pic:spPr>
                </pic:pic>
              </a:graphicData>
            </a:graphic>
          </wp:inline>
        </w:drawing>
      </w:r>
    </w:p>
    <w:p w14:paraId="64322568">
      <w:pPr>
        <w:widowControl/>
        <w:ind w:firstLine="1476" w:firstLineChars="700"/>
        <w:jc w:val="left"/>
        <w:rPr>
          <w:rFonts w:ascii="仿宋_GB2312" w:hAnsi="仿宋_GB2312" w:eastAsia="仿宋_GB2312" w:cs="仿宋_GB2312"/>
          <w:b/>
          <w:bCs/>
          <w:u w:val="single"/>
        </w:rPr>
      </w:pPr>
    </w:p>
    <w:p w14:paraId="72D1E33D">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7907A0E7">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工位示意图中墙板材料存放区存放多块预制板材，选手按图示要求选剪力墙板按《规范》吊装并安装如下图所示，并对角柱进行模板安装。</w:t>
      </w:r>
    </w:p>
    <w:p w14:paraId="34B4C6F6">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YNQ-01要求：砼强度C35;连接方式灌浆套筒连接；构件尺寸1000x1250x200,（长x高x厚）。</w:t>
      </w:r>
    </w:p>
    <w:p w14:paraId="1641ADC0">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YNQ-02要求：砼强度C35;连接方式灌浆套筒连接；构件尺寸1000x1250x200,（长x高x厚）。</w:t>
      </w:r>
    </w:p>
    <w:p w14:paraId="70B3652E">
      <w:pPr>
        <w:widowControl/>
        <w:ind w:firstLine="420" w:firstLineChars="200"/>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391275" cy="2549525"/>
            <wp:effectExtent l="0" t="0" r="952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rcRect t="4470" r="3158"/>
                    <a:stretch>
                      <a:fillRect/>
                    </a:stretch>
                  </pic:blipFill>
                  <pic:spPr>
                    <a:xfrm>
                      <a:off x="0" y="0"/>
                      <a:ext cx="6391275" cy="2549525"/>
                    </a:xfrm>
                    <a:prstGeom prst="rect">
                      <a:avLst/>
                    </a:prstGeom>
                    <a:noFill/>
                    <a:ln>
                      <a:noFill/>
                    </a:ln>
                  </pic:spPr>
                </pic:pic>
              </a:graphicData>
            </a:graphic>
          </wp:inline>
        </w:drawing>
      </w:r>
    </w:p>
    <w:p w14:paraId="2D3D8C06">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2D3194D4">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622749E7">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184B084C">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118A1C3C">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7A69EE5A">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4CE9FA9D">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4740460E">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07CC6BF1">
      <w:pPr>
        <w:widowControl/>
        <w:jc w:val="left"/>
        <w:rPr>
          <w:rFonts w:ascii="仿宋_GB2312" w:hAnsi="仿宋_GB2312" w:eastAsia="仿宋_GB2312" w:cs="仿宋_GB2312"/>
          <w:color w:val="000000"/>
          <w:kern w:val="0"/>
          <w:sz w:val="28"/>
          <w:szCs w:val="28"/>
          <w:lang w:bidi="ar"/>
        </w:rPr>
      </w:pPr>
    </w:p>
    <w:p w14:paraId="4855C2C2">
      <w:pPr>
        <w:pStyle w:val="14"/>
        <w:jc w:val="center"/>
        <w:rPr>
          <w:rFonts w:ascii="仿宋_GB2312" w:hAnsi="仿宋_GB2312" w:eastAsia="仿宋_GB2312" w:cs="仿宋_GB2312"/>
          <w:b/>
          <w:sz w:val="30"/>
          <w:szCs w:val="30"/>
        </w:rPr>
      </w:pPr>
    </w:p>
    <w:p w14:paraId="1D1D6DE3">
      <w:pPr>
        <w:pStyle w:val="14"/>
        <w:jc w:val="center"/>
        <w:rPr>
          <w:rFonts w:ascii="仿宋_GB2312" w:hAnsi="仿宋_GB2312" w:eastAsia="仿宋_GB2312" w:cs="仿宋_GB2312"/>
          <w:b/>
          <w:sz w:val="30"/>
          <w:szCs w:val="30"/>
        </w:rPr>
      </w:pPr>
    </w:p>
    <w:p w14:paraId="0D0D560A">
      <w:pPr>
        <w:pStyle w:val="14"/>
        <w:jc w:val="center"/>
        <w:rPr>
          <w:rFonts w:ascii="仿宋_GB2312" w:hAnsi="仿宋_GB2312" w:eastAsia="仿宋_GB2312" w:cs="仿宋_GB2312"/>
          <w:b/>
          <w:sz w:val="30"/>
          <w:szCs w:val="30"/>
        </w:rPr>
      </w:pPr>
    </w:p>
    <w:p w14:paraId="53AA766D">
      <w:pPr>
        <w:pStyle w:val="14"/>
        <w:jc w:val="center"/>
        <w:rPr>
          <w:rFonts w:ascii="仿宋_GB2312" w:hAnsi="仿宋_GB2312" w:eastAsia="仿宋_GB2312" w:cs="仿宋_GB2312"/>
          <w:b/>
          <w:sz w:val="30"/>
          <w:szCs w:val="30"/>
        </w:rPr>
      </w:pPr>
    </w:p>
    <w:p w14:paraId="4D8E27A9">
      <w:pPr>
        <w:pStyle w:val="14"/>
        <w:jc w:val="center"/>
        <w:rPr>
          <w:rFonts w:ascii="仿宋_GB2312" w:hAnsi="仿宋_GB2312" w:eastAsia="仿宋_GB2312" w:cs="仿宋_GB2312"/>
          <w:b/>
          <w:sz w:val="30"/>
          <w:szCs w:val="30"/>
        </w:rPr>
      </w:pPr>
    </w:p>
    <w:p w14:paraId="61946618">
      <w:pPr>
        <w:pStyle w:val="14"/>
        <w:jc w:val="center"/>
        <w:rPr>
          <w:rFonts w:ascii="仿宋_GB2312" w:hAnsi="仿宋_GB2312" w:eastAsia="仿宋_GB2312" w:cs="仿宋_GB2312"/>
          <w:b/>
          <w:sz w:val="30"/>
          <w:szCs w:val="30"/>
        </w:rPr>
      </w:pPr>
    </w:p>
    <w:p w14:paraId="151D8F8C">
      <w:pPr>
        <w:pStyle w:val="14"/>
        <w:jc w:val="center"/>
        <w:rPr>
          <w:rFonts w:ascii="仿宋_GB2312" w:hAnsi="仿宋_GB2312" w:eastAsia="仿宋_GB2312" w:cs="仿宋_GB2312"/>
          <w:b/>
          <w:sz w:val="30"/>
          <w:szCs w:val="30"/>
        </w:rPr>
      </w:pPr>
    </w:p>
    <w:p w14:paraId="2A18A5C2">
      <w:pPr>
        <w:pStyle w:val="14"/>
        <w:jc w:val="center"/>
        <w:rPr>
          <w:rFonts w:ascii="仿宋_GB2312" w:hAnsi="仿宋_GB2312" w:eastAsia="仿宋_GB2312" w:cs="仿宋_GB2312"/>
          <w:b/>
          <w:sz w:val="30"/>
          <w:szCs w:val="30"/>
        </w:rPr>
      </w:pPr>
    </w:p>
    <w:p w14:paraId="0E9BCA4A">
      <w:pPr>
        <w:pStyle w:val="14"/>
        <w:jc w:val="center"/>
        <w:rPr>
          <w:rFonts w:ascii="仿宋_GB2312" w:hAnsi="仿宋_GB2312" w:eastAsia="仿宋_GB2312" w:cs="仿宋_GB2312"/>
          <w:b/>
          <w:sz w:val="30"/>
          <w:szCs w:val="30"/>
        </w:rPr>
      </w:pPr>
    </w:p>
    <w:p w14:paraId="09AC1EF3">
      <w:pPr>
        <w:pStyle w:val="14"/>
        <w:jc w:val="center"/>
        <w:rPr>
          <w:rFonts w:ascii="仿宋_GB2312" w:hAnsi="仿宋_GB2312" w:eastAsia="仿宋_GB2312" w:cs="仿宋_GB2312"/>
          <w:b/>
          <w:sz w:val="30"/>
          <w:szCs w:val="30"/>
        </w:rPr>
      </w:pPr>
    </w:p>
    <w:p w14:paraId="2B2C0E3F">
      <w:pPr>
        <w:pStyle w:val="14"/>
        <w:jc w:val="center"/>
        <w:rPr>
          <w:rFonts w:ascii="仿宋_GB2312" w:hAnsi="仿宋_GB2312" w:eastAsia="仿宋_GB2312" w:cs="仿宋_GB2312"/>
          <w:b/>
          <w:sz w:val="30"/>
          <w:szCs w:val="30"/>
        </w:rPr>
      </w:pPr>
    </w:p>
    <w:p w14:paraId="542B42AE">
      <w:pPr>
        <w:pStyle w:val="14"/>
        <w:jc w:val="center"/>
        <w:rPr>
          <w:rFonts w:ascii="仿宋_GB2312" w:hAnsi="仿宋_GB2312" w:eastAsia="仿宋_GB2312" w:cs="仿宋_GB2312"/>
          <w:b/>
          <w:sz w:val="30"/>
          <w:szCs w:val="30"/>
        </w:rPr>
      </w:pPr>
    </w:p>
    <w:p w14:paraId="1AA9E51B">
      <w:pPr>
        <w:pStyle w:val="14"/>
        <w:jc w:val="center"/>
        <w:rPr>
          <w:rFonts w:ascii="仿宋_GB2312" w:hAnsi="仿宋_GB2312" w:eastAsia="仿宋_GB2312" w:cs="仿宋_GB2312"/>
          <w:b/>
          <w:sz w:val="30"/>
          <w:szCs w:val="30"/>
        </w:rPr>
      </w:pPr>
    </w:p>
    <w:p w14:paraId="02C6F2C3">
      <w:pPr>
        <w:pStyle w:val="14"/>
        <w:jc w:val="center"/>
        <w:rPr>
          <w:rFonts w:ascii="仿宋_GB2312" w:hAnsi="仿宋_GB2312" w:eastAsia="仿宋_GB2312" w:cs="仿宋_GB2312"/>
          <w:b/>
          <w:sz w:val="30"/>
          <w:szCs w:val="30"/>
        </w:rPr>
      </w:pPr>
    </w:p>
    <w:p w14:paraId="255BCDED">
      <w:pPr>
        <w:pStyle w:val="14"/>
        <w:jc w:val="center"/>
        <w:rPr>
          <w:rFonts w:ascii="仿宋_GB2312" w:hAnsi="仿宋_GB2312" w:eastAsia="仿宋_GB2312" w:cs="仿宋_GB2312"/>
          <w:b/>
          <w:sz w:val="30"/>
          <w:szCs w:val="30"/>
        </w:rPr>
      </w:pPr>
    </w:p>
    <w:p w14:paraId="4DF7C195">
      <w:pPr>
        <w:pStyle w:val="14"/>
        <w:jc w:val="center"/>
        <w:rPr>
          <w:rFonts w:ascii="仿宋_GB2312" w:hAnsi="仿宋_GB2312" w:eastAsia="仿宋_GB2312" w:cs="仿宋_GB2312"/>
          <w:b/>
          <w:sz w:val="30"/>
          <w:szCs w:val="30"/>
        </w:rPr>
      </w:pPr>
    </w:p>
    <w:p w14:paraId="34CA62B9">
      <w:pPr>
        <w:pStyle w:val="14"/>
        <w:jc w:val="center"/>
        <w:rPr>
          <w:rFonts w:ascii="仿宋_GB2312" w:hAnsi="仿宋_GB2312" w:eastAsia="仿宋_GB2312" w:cs="仿宋_GB2312"/>
          <w:b/>
          <w:sz w:val="30"/>
          <w:szCs w:val="30"/>
        </w:rPr>
      </w:pPr>
    </w:p>
    <w:p w14:paraId="533A14C5">
      <w:pPr>
        <w:pStyle w:val="14"/>
        <w:jc w:val="center"/>
        <w:rPr>
          <w:rFonts w:ascii="仿宋_GB2312" w:hAnsi="仿宋_GB2312" w:eastAsia="仿宋_GB2312" w:cs="仿宋_GB2312"/>
          <w:b/>
          <w:sz w:val="30"/>
          <w:szCs w:val="30"/>
        </w:rPr>
      </w:pPr>
    </w:p>
    <w:p w14:paraId="763BA0EE">
      <w:pPr>
        <w:pStyle w:val="14"/>
        <w:jc w:val="center"/>
        <w:rPr>
          <w:rFonts w:ascii="仿宋_GB2312" w:hAnsi="仿宋_GB2312" w:eastAsia="仿宋_GB2312" w:cs="仿宋_GB2312"/>
          <w:b/>
          <w:sz w:val="30"/>
          <w:szCs w:val="30"/>
        </w:rPr>
      </w:pPr>
    </w:p>
    <w:p w14:paraId="6899C2B8">
      <w:pPr>
        <w:pStyle w:val="14"/>
        <w:jc w:val="center"/>
        <w:rPr>
          <w:rFonts w:ascii="仿宋_GB2312" w:hAnsi="仿宋_GB2312" w:eastAsia="仿宋_GB2312" w:cs="仿宋_GB2312"/>
          <w:b/>
          <w:sz w:val="30"/>
          <w:szCs w:val="30"/>
        </w:rPr>
      </w:pPr>
    </w:p>
    <w:p w14:paraId="6DCFFB36">
      <w:pPr>
        <w:pStyle w:val="14"/>
        <w:jc w:val="center"/>
        <w:rPr>
          <w:rFonts w:ascii="仿宋_GB2312" w:hAnsi="仿宋_GB2312" w:eastAsia="仿宋_GB2312" w:cs="仿宋_GB2312"/>
          <w:b/>
          <w:sz w:val="30"/>
          <w:szCs w:val="30"/>
        </w:rPr>
      </w:pPr>
    </w:p>
    <w:p w14:paraId="5EE535CF">
      <w:pPr>
        <w:pStyle w:val="14"/>
        <w:jc w:val="center"/>
        <w:rPr>
          <w:rFonts w:ascii="仿宋_GB2312" w:hAnsi="仿宋_GB2312" w:eastAsia="仿宋_GB2312" w:cs="仿宋_GB2312"/>
          <w:b/>
          <w:sz w:val="30"/>
          <w:szCs w:val="30"/>
        </w:rPr>
      </w:pPr>
    </w:p>
    <w:p w14:paraId="1A4E3552">
      <w:pPr>
        <w:pStyle w:val="14"/>
        <w:jc w:val="center"/>
        <w:rPr>
          <w:rFonts w:ascii="仿宋_GB2312" w:hAnsi="仿宋_GB2312" w:eastAsia="仿宋_GB2312" w:cs="仿宋_GB2312"/>
          <w:b/>
          <w:sz w:val="30"/>
          <w:szCs w:val="30"/>
        </w:rPr>
      </w:pPr>
    </w:p>
    <w:p w14:paraId="45604C93">
      <w:pPr>
        <w:pStyle w:val="14"/>
        <w:jc w:val="center"/>
        <w:rPr>
          <w:rFonts w:ascii="仿宋_GB2312" w:hAnsi="仿宋_GB2312" w:eastAsia="仿宋_GB2312" w:cs="仿宋_GB2312"/>
          <w:b/>
          <w:sz w:val="30"/>
          <w:szCs w:val="30"/>
        </w:rPr>
      </w:pPr>
    </w:p>
    <w:p w14:paraId="1A668FAD">
      <w:pPr>
        <w:pStyle w:val="14"/>
        <w:jc w:val="center"/>
        <w:rPr>
          <w:rFonts w:ascii="仿宋_GB2312" w:hAnsi="仿宋_GB2312" w:eastAsia="仿宋_GB2312" w:cs="仿宋_GB2312"/>
          <w:b/>
          <w:sz w:val="30"/>
          <w:szCs w:val="30"/>
        </w:rPr>
      </w:pPr>
    </w:p>
    <w:p w14:paraId="6BA2A561">
      <w:pPr>
        <w:pStyle w:val="14"/>
        <w:jc w:val="center"/>
        <w:rPr>
          <w:rFonts w:ascii="仿宋_GB2312" w:hAnsi="仿宋_GB2312" w:eastAsia="仿宋_GB2312" w:cs="仿宋_GB2312"/>
          <w:b/>
          <w:sz w:val="30"/>
          <w:szCs w:val="30"/>
        </w:rPr>
      </w:pPr>
    </w:p>
    <w:p w14:paraId="59AF69A8">
      <w:pPr>
        <w:pStyle w:val="14"/>
        <w:jc w:val="center"/>
        <w:rPr>
          <w:rFonts w:ascii="仿宋_GB2312" w:hAnsi="仿宋_GB2312" w:eastAsia="仿宋_GB2312" w:cs="仿宋_GB2312"/>
          <w:b/>
          <w:sz w:val="30"/>
          <w:szCs w:val="30"/>
        </w:rPr>
      </w:pPr>
    </w:p>
    <w:p w14:paraId="39752FC4">
      <w:pPr>
        <w:pStyle w:val="14"/>
        <w:jc w:val="center"/>
        <w:rPr>
          <w:rFonts w:ascii="仿宋_GB2312" w:hAnsi="仿宋_GB2312" w:eastAsia="仿宋_GB2312" w:cs="仿宋_GB2312"/>
          <w:b/>
          <w:sz w:val="30"/>
          <w:szCs w:val="30"/>
        </w:rPr>
      </w:pPr>
    </w:p>
    <w:p w14:paraId="5FB654F5">
      <w:pPr>
        <w:pStyle w:val="14"/>
        <w:jc w:val="center"/>
        <w:rPr>
          <w:rFonts w:ascii="仿宋_GB2312" w:hAnsi="仿宋_GB2312" w:eastAsia="仿宋_GB2312" w:cs="仿宋_GB2312"/>
          <w:b/>
          <w:sz w:val="30"/>
          <w:szCs w:val="30"/>
        </w:rPr>
      </w:pPr>
    </w:p>
    <w:p w14:paraId="70E62447">
      <w:pPr>
        <w:pStyle w:val="14"/>
        <w:jc w:val="center"/>
        <w:rPr>
          <w:rFonts w:ascii="仿宋_GB2312" w:hAnsi="仿宋_GB2312" w:eastAsia="仿宋_GB2312" w:cs="仿宋_GB2312"/>
          <w:b/>
          <w:sz w:val="30"/>
          <w:szCs w:val="30"/>
        </w:rPr>
      </w:pPr>
    </w:p>
    <w:p w14:paraId="480A9980">
      <w:pPr>
        <w:pStyle w:val="14"/>
        <w:jc w:val="center"/>
        <w:rPr>
          <w:rFonts w:ascii="仿宋_GB2312" w:hAnsi="仿宋_GB2312" w:eastAsia="仿宋_GB2312" w:cs="仿宋_GB2312"/>
          <w:b/>
          <w:sz w:val="30"/>
          <w:szCs w:val="30"/>
        </w:rPr>
      </w:pPr>
    </w:p>
    <w:p w14:paraId="59AF97F1">
      <w:pPr>
        <w:pStyle w:val="14"/>
        <w:jc w:val="center"/>
        <w:rPr>
          <w:rFonts w:ascii="仿宋_GB2312" w:hAnsi="仿宋_GB2312" w:eastAsia="仿宋_GB2312" w:cs="仿宋_GB2312"/>
          <w:b/>
          <w:sz w:val="30"/>
          <w:szCs w:val="30"/>
        </w:rPr>
      </w:pPr>
    </w:p>
    <w:p w14:paraId="4064ED97">
      <w:pPr>
        <w:pStyle w:val="14"/>
        <w:jc w:val="center"/>
        <w:rPr>
          <w:rFonts w:ascii="仿宋_GB2312" w:hAnsi="仿宋_GB2312" w:eastAsia="仿宋_GB2312" w:cs="仿宋_GB2312"/>
          <w:b/>
          <w:sz w:val="30"/>
          <w:szCs w:val="30"/>
        </w:rPr>
      </w:pPr>
    </w:p>
    <w:p w14:paraId="7AFB890D">
      <w:pPr>
        <w:pStyle w:val="14"/>
        <w:jc w:val="center"/>
        <w:rPr>
          <w:rFonts w:ascii="仿宋_GB2312" w:hAnsi="仿宋_GB2312" w:eastAsia="仿宋_GB2312" w:cs="仿宋_GB2312"/>
          <w:b/>
          <w:sz w:val="30"/>
          <w:szCs w:val="30"/>
        </w:rPr>
      </w:pPr>
    </w:p>
    <w:p w14:paraId="1EC5B7B4">
      <w:pPr>
        <w:pStyle w:val="14"/>
        <w:jc w:val="center"/>
        <w:rPr>
          <w:rFonts w:ascii="仿宋_GB2312" w:hAnsi="仿宋_GB2312" w:eastAsia="仿宋_GB2312" w:cs="仿宋_GB2312"/>
          <w:b/>
          <w:sz w:val="30"/>
          <w:szCs w:val="30"/>
        </w:rPr>
      </w:pPr>
    </w:p>
    <w:p w14:paraId="22253129">
      <w:pPr>
        <w:pStyle w:val="14"/>
        <w:jc w:val="center"/>
        <w:rPr>
          <w:rFonts w:ascii="仿宋_GB2312" w:hAnsi="仿宋_GB2312" w:eastAsia="仿宋_GB2312" w:cs="仿宋_GB2312"/>
          <w:b/>
          <w:sz w:val="30"/>
          <w:szCs w:val="30"/>
        </w:rPr>
      </w:pPr>
    </w:p>
    <w:p w14:paraId="07DBB14A">
      <w:pPr>
        <w:pStyle w:val="14"/>
        <w:jc w:val="center"/>
        <w:rPr>
          <w:rFonts w:ascii="仿宋_GB2312" w:hAnsi="仿宋_GB2312" w:eastAsia="仿宋_GB2312" w:cs="仿宋_GB2312"/>
          <w:b/>
          <w:sz w:val="30"/>
          <w:szCs w:val="30"/>
        </w:rPr>
      </w:pPr>
    </w:p>
    <w:p w14:paraId="124AE98E">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94AC1"/>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E46EA"/>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96D2F"/>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34C49"/>
    <w:rsid w:val="00F41FE7"/>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B8F1342"/>
    <w:rsid w:val="0C9B6BDE"/>
    <w:rsid w:val="0FA77F25"/>
    <w:rsid w:val="109045B9"/>
    <w:rsid w:val="10A818CA"/>
    <w:rsid w:val="11E4072D"/>
    <w:rsid w:val="12573156"/>
    <w:rsid w:val="135D370D"/>
    <w:rsid w:val="13863F92"/>
    <w:rsid w:val="158433EB"/>
    <w:rsid w:val="16784454"/>
    <w:rsid w:val="16BF11DD"/>
    <w:rsid w:val="18B773FA"/>
    <w:rsid w:val="1A25509E"/>
    <w:rsid w:val="1A554F9A"/>
    <w:rsid w:val="1A5C29C2"/>
    <w:rsid w:val="1B651DA3"/>
    <w:rsid w:val="1C645914"/>
    <w:rsid w:val="1FB1776E"/>
    <w:rsid w:val="202969ED"/>
    <w:rsid w:val="20A51A2D"/>
    <w:rsid w:val="215C64E4"/>
    <w:rsid w:val="233C2774"/>
    <w:rsid w:val="244B6568"/>
    <w:rsid w:val="26535F67"/>
    <w:rsid w:val="274E68CF"/>
    <w:rsid w:val="28C26FAC"/>
    <w:rsid w:val="2BB46F1D"/>
    <w:rsid w:val="2C345BA8"/>
    <w:rsid w:val="2FA054F8"/>
    <w:rsid w:val="300703B5"/>
    <w:rsid w:val="309B0CAA"/>
    <w:rsid w:val="365D1558"/>
    <w:rsid w:val="37756932"/>
    <w:rsid w:val="37BB49E2"/>
    <w:rsid w:val="38FA4476"/>
    <w:rsid w:val="39E50740"/>
    <w:rsid w:val="3CC05722"/>
    <w:rsid w:val="3D866913"/>
    <w:rsid w:val="40B01861"/>
    <w:rsid w:val="415657AA"/>
    <w:rsid w:val="42F3604A"/>
    <w:rsid w:val="42FC76D0"/>
    <w:rsid w:val="433A3380"/>
    <w:rsid w:val="436D36BB"/>
    <w:rsid w:val="43A20BAB"/>
    <w:rsid w:val="4714323A"/>
    <w:rsid w:val="47615D53"/>
    <w:rsid w:val="48270F31"/>
    <w:rsid w:val="49C9149B"/>
    <w:rsid w:val="4B971718"/>
    <w:rsid w:val="4BE331DB"/>
    <w:rsid w:val="4D517835"/>
    <w:rsid w:val="4DBB4E9D"/>
    <w:rsid w:val="4E3D039E"/>
    <w:rsid w:val="4F310779"/>
    <w:rsid w:val="526B3F2A"/>
    <w:rsid w:val="5358625C"/>
    <w:rsid w:val="53E75832"/>
    <w:rsid w:val="54CE3AA7"/>
    <w:rsid w:val="563A6F01"/>
    <w:rsid w:val="59335998"/>
    <w:rsid w:val="5B4236BA"/>
    <w:rsid w:val="5E887250"/>
    <w:rsid w:val="5F4C0F87"/>
    <w:rsid w:val="666B2E92"/>
    <w:rsid w:val="677D5B76"/>
    <w:rsid w:val="67E24A1A"/>
    <w:rsid w:val="68677928"/>
    <w:rsid w:val="6B2036AC"/>
    <w:rsid w:val="6BCF0863"/>
    <w:rsid w:val="6C1D139E"/>
    <w:rsid w:val="6E9604DE"/>
    <w:rsid w:val="6F263E64"/>
    <w:rsid w:val="70C80A99"/>
    <w:rsid w:val="73BE7FEC"/>
    <w:rsid w:val="788B5054"/>
    <w:rsid w:val="79736ACF"/>
    <w:rsid w:val="79D169FB"/>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uiPriority w:val="0"/>
    <w:rPr>
      <w:rFonts w:ascii="宋体" w:hAnsi="宋体" w:cs="宋体"/>
      <w:sz w:val="26"/>
      <w:szCs w:val="26"/>
      <w:lang w:val="zh-CN" w:bidi="zh-CN"/>
    </w:rPr>
  </w:style>
  <w:style w:type="paragraph" w:customStyle="1" w:styleId="25">
    <w:name w:val="正文文本1"/>
    <w:basedOn w:val="1"/>
    <w:link w:val="24"/>
    <w:qFormat/>
    <w:uiPriority w:val="0"/>
    <w:pPr>
      <w:spacing w:line="442"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8104</Words>
  <Characters>9096</Characters>
  <Lines>72</Lines>
  <Paragraphs>20</Paragraphs>
  <TotalTime>0</TotalTime>
  <ScaleCrop>false</ScaleCrop>
  <LinksUpToDate>false</LinksUpToDate>
  <CharactersWithSpaces>9718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BC9C19EA848649B7BED4FAA180FA54ED_13</vt:lpwstr>
  </property>
</Properties>
</file>