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112E1B0">
      <w:pPr>
        <w:pStyle w:val="14"/>
        <w:jc w:val="center"/>
        <w:rPr>
          <w:rFonts w:ascii="仿宋_GB2312" w:hAnsi="仿宋_GB2312" w:eastAsia="仿宋_GB2312" w:cs="仿宋_GB2312"/>
          <w:b/>
          <w:sz w:val="30"/>
          <w:szCs w:val="30"/>
        </w:rPr>
      </w:pPr>
      <w:r>
        <w:rPr>
          <w:rFonts w:hint="eastAsia" w:ascii="仿宋_GB2312" w:hAnsi="仿宋_GB2312" w:eastAsia="仿宋_GB2312" w:cs="仿宋_GB2312"/>
          <w:b/>
          <w:sz w:val="30"/>
          <w:szCs w:val="30"/>
        </w:rPr>
        <w:t>四川省职业院校技能大赛中职组装配式建筑构件安装赛项</w:t>
      </w:r>
    </w:p>
    <w:p w14:paraId="4C68D283">
      <w:pPr>
        <w:pStyle w:val="14"/>
        <w:jc w:val="center"/>
        <w:rPr>
          <w:rFonts w:cs="IDÑ˛"/>
          <w:kern w:val="0"/>
          <w:sz w:val="30"/>
          <w:szCs w:val="30"/>
        </w:rPr>
      </w:pPr>
      <w:r>
        <w:rPr>
          <w:rFonts w:hint="eastAsia" w:ascii="仿宋_GB2312" w:hAnsi="仿宋_GB2312" w:eastAsia="仿宋_GB2312" w:cs="仿宋_GB2312"/>
          <w:b/>
          <w:sz w:val="30"/>
          <w:szCs w:val="30"/>
        </w:rPr>
        <w:t>模块一理论知识竞赛试卷</w:t>
      </w:r>
    </w:p>
    <w:p w14:paraId="6C60C0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p>
    <w:p w14:paraId="56C8128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一、单项选择题 （共50题，每题1分，计50分）</w:t>
      </w:r>
    </w:p>
    <w:p w14:paraId="547AAF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1.国务院办公厅《关于大力发展装配式建筑的指导意见》的工作目标中提出,要推动形成一批设计、施工、部品部件规模化生产企业，具有现代装配建造水平的（ ）以及与之相适应的专业化技能队伍。</w:t>
      </w:r>
    </w:p>
    <w:p w14:paraId="01B3B29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A.设计总承包企业  </w:t>
      </w:r>
    </w:p>
    <w:p w14:paraId="65D6D3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B.工程总承包企业</w:t>
      </w:r>
    </w:p>
    <w:p w14:paraId="7D75DEC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C.施工总承包企业 </w:t>
      </w:r>
    </w:p>
    <w:p w14:paraId="2DF0A86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D.设计-施工总承包企业</w:t>
      </w:r>
    </w:p>
    <w:p w14:paraId="04783F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421FB7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2.装配式混凝土建筑应结合（ ）的原则整体策划，协同建筑、结构、几点、装饰装修等专业要求，制定施工组织设计。</w:t>
      </w:r>
    </w:p>
    <w:p w14:paraId="76B8D3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A.标准化设计</w:t>
      </w:r>
    </w:p>
    <w:p w14:paraId="2B93FC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B.装配化施工</w:t>
      </w:r>
    </w:p>
    <w:p w14:paraId="674D76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C.设计、加工、采购一体化</w:t>
      </w:r>
    </w:p>
    <w:p w14:paraId="21C925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D.设计、生产、装配一体化</w:t>
      </w:r>
    </w:p>
    <w:p w14:paraId="3CA362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319A6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A26C21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3.装配整体式混凝土结构应采用（ ）进行三维可视化设计，并进行各类设计分析。</w:t>
      </w:r>
    </w:p>
    <w:p w14:paraId="6BF007C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A.建筑信息模型系统（BIM）   </w:t>
      </w:r>
    </w:p>
    <w:p w14:paraId="726826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B.制造执行系统（MES） </w:t>
      </w:r>
    </w:p>
    <w:p w14:paraId="2098080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C.企业资源计划系统（ERP） </w:t>
      </w:r>
    </w:p>
    <w:p w14:paraId="0378F7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D.产品全生命周期管理系统（PLM）</w:t>
      </w:r>
    </w:p>
    <w:p w14:paraId="52B3D0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758CA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4.由于下列因素出现，影响合同价款调整的，不应由发包人承担的是（  ）。</w:t>
      </w:r>
    </w:p>
    <w:p w14:paraId="044EE2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A.国家法律、法规、规章和政策发生变化</w:t>
      </w:r>
    </w:p>
    <w:p w14:paraId="614992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B.省级或行业建设主管部门发布的人工费调整，但承包人对人工费或人工单价的报价高于发布的除外</w:t>
      </w:r>
    </w:p>
    <w:p w14:paraId="5E79B0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C.由政府定价或政府指导价管理的原材料等价格进行了调整</w:t>
      </w:r>
    </w:p>
    <w:p w14:paraId="7D7AA4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D.由于雨季持续性下雨导致的工期延误</w:t>
      </w:r>
    </w:p>
    <w:p w14:paraId="64F829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F5B5DD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5.预制混凝土模具的混凝土接触面的焊缝应磨平，接口平面之间及磨平后的焊缝与板面之间的高低差，均不得大于（）mm。</w:t>
      </w:r>
    </w:p>
    <w:p w14:paraId="0F2B25D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w:t>
      </w:r>
    </w:p>
    <w:p w14:paraId="0557A0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w:t>
      </w:r>
    </w:p>
    <w:p w14:paraId="0DA85D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w:t>
      </w:r>
    </w:p>
    <w:p w14:paraId="0F0A58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w:t>
      </w:r>
    </w:p>
    <w:p w14:paraId="1AE809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2BDAE2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6.下列不属于预制构件粗糙面常用处理工艺的是（ ）。</w:t>
      </w:r>
    </w:p>
    <w:p w14:paraId="51CFD48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A.水洗法</w:t>
      </w:r>
    </w:p>
    <w:p w14:paraId="2D1A2E1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B.拉毛</w:t>
      </w:r>
    </w:p>
    <w:p w14:paraId="6068094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C.凿毛</w:t>
      </w:r>
    </w:p>
    <w:p w14:paraId="123863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D.喷砂</w:t>
      </w:r>
    </w:p>
    <w:p w14:paraId="185876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4BD4E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7.试拌调整混凝土时，发现拌和物的保水性较差，应采用(    )措施。</w:t>
      </w:r>
    </w:p>
    <w:p w14:paraId="3D78F8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A．增加砂率                             </w:t>
      </w:r>
    </w:p>
    <w:p w14:paraId="64D151C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B．减少砂率</w:t>
      </w:r>
    </w:p>
    <w:p w14:paraId="4D3C3D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C．增加水泥                            </w:t>
      </w:r>
    </w:p>
    <w:p w14:paraId="1B0D668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D．增加用水量</w:t>
      </w:r>
    </w:p>
    <w:p w14:paraId="6C22FA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4DF70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8.剪力墙平面布置图中，预制构件的外表面用符号（ ）表示。</w:t>
      </w:r>
    </w:p>
    <w:p w14:paraId="5AE25B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w:t>
      </w:r>
      <w:r>
        <w:rPr>
          <w:rFonts w:hint="eastAsia" w:ascii="仿宋_GB2312" w:hAnsi="仿宋_GB2312" w:eastAsia="仿宋_GB2312" w:cs="仿宋_GB2312"/>
          <w:sz w:val="28"/>
          <w:szCs w:val="28"/>
        </w:rPr>
        <w:drawing>
          <wp:inline distT="0" distB="0" distL="114300" distR="114300">
            <wp:extent cx="165100" cy="152400"/>
            <wp:effectExtent l="0" t="0" r="6350" b="0"/>
            <wp:docPr id="4"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图片 1"/>
                    <pic:cNvPicPr>
                      <a:picLocks noChangeAspect="1"/>
                    </pic:cNvPicPr>
                  </pic:nvPicPr>
                  <pic:blipFill>
                    <a:blip r:embed="rId4"/>
                    <a:stretch>
                      <a:fillRect/>
                    </a:stretch>
                  </pic:blipFill>
                  <pic:spPr>
                    <a:xfrm>
                      <a:off x="0" y="0"/>
                      <a:ext cx="165100" cy="152400"/>
                    </a:xfrm>
                    <a:prstGeom prst="rect">
                      <a:avLst/>
                    </a:prstGeom>
                    <a:noFill/>
                    <a:ln>
                      <a:noFill/>
                    </a:ln>
                  </pic:spPr>
                </pic:pic>
              </a:graphicData>
            </a:graphic>
          </wp:inline>
        </w:drawing>
      </w:r>
      <w:r>
        <w:rPr>
          <w:rFonts w:hint="eastAsia" w:ascii="仿宋_GB2312" w:hAnsi="仿宋_GB2312" w:eastAsia="仿宋_GB2312" w:cs="仿宋_GB2312"/>
          <w:sz w:val="28"/>
          <w:szCs w:val="28"/>
        </w:rPr>
        <w:t xml:space="preserve">     </w:t>
      </w:r>
    </w:p>
    <w:p w14:paraId="38EF9B6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B.WS    </w:t>
      </w:r>
    </w:p>
    <w:p w14:paraId="5B28A0F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C.NS    </w:t>
      </w:r>
    </w:p>
    <w:p w14:paraId="40B518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D.MJ1</w:t>
      </w:r>
    </w:p>
    <w:p w14:paraId="7E76D3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9CE7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9.当预制构件粗糙面采用涂刷缓凝剂工艺时，预制构件脱模后应及时进行（ ），露出骨料。</w:t>
      </w:r>
    </w:p>
    <w:p w14:paraId="3173EC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A.凿毛</w:t>
      </w:r>
    </w:p>
    <w:p w14:paraId="4753EAD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B.喷砂</w:t>
      </w:r>
    </w:p>
    <w:p w14:paraId="796588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C.拉毛处理</w:t>
      </w:r>
    </w:p>
    <w:p w14:paraId="4744F2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D.高压水冲洗</w:t>
      </w:r>
    </w:p>
    <w:p w14:paraId="3B1AF91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4D30C0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10.编号为WQM-3628-1823的内叶墙板，其含义为（ ）。</w:t>
      </w:r>
    </w:p>
    <w:p w14:paraId="7F820B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A.预制内叶墙板类型为一个门洞外墙，标志宽度3600mm，层高2800mm，门宽1800mm，门高2300mm。</w:t>
      </w:r>
    </w:p>
    <w:p w14:paraId="3B055FE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B.预制内叶墙板类型为一个门洞外墙，层高3600mm，标志宽度2800mm，门宽1800mm，门高2300mm。</w:t>
      </w:r>
    </w:p>
    <w:p w14:paraId="583D0C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C.预制内叶墙板类型为一个门洞外墙，标志宽度3600mm，层高2800mm，门高1800mm，门宽2300mm。</w:t>
      </w:r>
    </w:p>
    <w:p w14:paraId="390798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D.预制内叶墙板类型为一个窗洞外墙，标志宽度3600mm，层高2800mm，窗宽1800mm，窗高2300mm。</w:t>
      </w:r>
    </w:p>
    <w:p w14:paraId="73649FD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654606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11.高温车间的衬护混凝土，宜选用（   ）。</w:t>
      </w:r>
    </w:p>
    <w:p w14:paraId="1E0442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硅酸盐水泥                           </w:t>
      </w:r>
    </w:p>
    <w:p w14:paraId="247F34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普通硅酸盐水泥   </w:t>
      </w:r>
    </w:p>
    <w:p w14:paraId="3F2028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铝酸盐水泥                           </w:t>
      </w:r>
    </w:p>
    <w:p w14:paraId="4FCDBD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粉煤硅酸盐水泥</w:t>
      </w:r>
    </w:p>
    <w:p w14:paraId="22E6B9B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8701B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12.《钢筋套筒灌浆连接应用技术规程》JGJ355-2015对材料、接头性能、设计等进行要求，同时加入接头型式检验，考虑检验条件、检验试件和检验项目，对灌浆料强度范围进行了确定，对于标养28d 灌浆料强度在（ ），其接头拉伸试验当天灌浆料的有效抗压强度为80MPa~95MPa。</w:t>
      </w:r>
    </w:p>
    <w:p w14:paraId="4FCB36B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80MPa  </w:t>
      </w:r>
    </w:p>
    <w:p w14:paraId="41FFC9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95MPa  </w:t>
      </w:r>
    </w:p>
    <w:p w14:paraId="0CD4A4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90MPa  </w:t>
      </w:r>
    </w:p>
    <w:p w14:paraId="54B7995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85MPa</w:t>
      </w:r>
    </w:p>
    <w:p w14:paraId="22828C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552FC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13.复合保温夹芯外墙采用反打一次成型工艺制作, 保温工序为（ ）。 </w:t>
      </w:r>
    </w:p>
    <w:p w14:paraId="5BAFB9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 聚苯放样→构件加工图→聚苯下料→聚苯铺装→浇筑</w:t>
      </w:r>
    </w:p>
    <w:p w14:paraId="7F604B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聚苯放样→聚苯下料→构件加工图→聚苯铺装→浇筑</w:t>
      </w:r>
    </w:p>
    <w:p w14:paraId="2C4F214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构件加工图→聚苯放样→聚苯下料→聚苯铺装→浇筑</w:t>
      </w:r>
    </w:p>
    <w:p w14:paraId="72BCF6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聚苯放样→聚苯下料→聚苯铺装→构件加工图→浇筑</w:t>
      </w:r>
    </w:p>
    <w:p w14:paraId="565194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2B56B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14.沉降观测时，为了提高观测精度，可采用固定测量人员、固定测量仪器和（  ）的“三固定”方法。</w:t>
      </w:r>
    </w:p>
    <w:p w14:paraId="54DCC0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A.固定测量时间</w:t>
      </w:r>
    </w:p>
    <w:p w14:paraId="33C999C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B.固定测量周期</w:t>
      </w:r>
    </w:p>
    <w:p w14:paraId="581DE2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C.固定测量路线</w:t>
      </w:r>
    </w:p>
    <w:p w14:paraId="0D8550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D.固定测量精度</w:t>
      </w:r>
    </w:p>
    <w:p w14:paraId="4E7159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D7695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15.当构件翻身强度不得低于 (  )，经过复核满足翻身和吊装要求时，允许将构件翻身和起吊。 </w:t>
      </w:r>
    </w:p>
    <w:p w14:paraId="795E72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设计强度的70%且不低于C20      </w:t>
      </w:r>
    </w:p>
    <w:p w14:paraId="376AEB0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设计强度的30%并不低于C15    </w:t>
      </w:r>
    </w:p>
    <w:p w14:paraId="1BC811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设计强度的大于C15，低于70%      </w:t>
      </w:r>
    </w:p>
    <w:p w14:paraId="6548328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 以上说法都不正确</w:t>
      </w:r>
    </w:p>
    <w:p w14:paraId="1DC677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1E04E0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16.装配式工业厂房吊车梁的吊装、应在基础杯口二次浇筑的混凝土达到设计强度（ ）以上，方可进行。</w:t>
      </w:r>
    </w:p>
    <w:p w14:paraId="751EAD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A.30%</w:t>
      </w:r>
    </w:p>
    <w:p w14:paraId="34EE0A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B.50%</w:t>
      </w:r>
    </w:p>
    <w:p w14:paraId="2B0C13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C.70%</w:t>
      </w:r>
    </w:p>
    <w:p w14:paraId="09452B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D.90%</w:t>
      </w:r>
    </w:p>
    <w:p w14:paraId="3D9084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C4893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17.关于施工测量放线和验线的说法，错误的是（  ）。</w:t>
      </w:r>
    </w:p>
    <w:p w14:paraId="373E25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A.测量放线工作必须严格遵守“三检”制度和验线制度</w:t>
      </w:r>
    </w:p>
    <w:p w14:paraId="663085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B.测量员放线工作完成后，必须进行自检，并填写自检记录</w:t>
      </w:r>
    </w:p>
    <w:p w14:paraId="6E7975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C.验线工作应由项目负责人进行，发现不合格立即返工重测</w:t>
      </w:r>
    </w:p>
    <w:p w14:paraId="449841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D.放线工作自检合格后，应填写《放线报验表》并报监理验线</w:t>
      </w:r>
    </w:p>
    <w:p w14:paraId="20097E2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73A062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18.预制构件连接部位后浇混凝土及灌浆料的（ ）达到设计要求后，方可拆除临时固定措施。</w:t>
      </w:r>
    </w:p>
    <w:p w14:paraId="780AA1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A.强度</w:t>
      </w:r>
    </w:p>
    <w:p w14:paraId="4AD1EB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B.刚度</w:t>
      </w:r>
    </w:p>
    <w:p w14:paraId="7232746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C.稳定性</w:t>
      </w:r>
    </w:p>
    <w:p w14:paraId="14A9C10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D.硬度</w:t>
      </w:r>
    </w:p>
    <w:p w14:paraId="4F60244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65DA59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19.在控制流程反馈与纠正两个环节之间的是  （  ）</w:t>
      </w:r>
    </w:p>
    <w:p w14:paraId="41A689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A．计划    </w:t>
      </w:r>
    </w:p>
    <w:p w14:paraId="2CEAEA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B．对比</w:t>
      </w:r>
    </w:p>
    <w:p w14:paraId="4B2E7E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C．转换    </w:t>
      </w:r>
    </w:p>
    <w:p w14:paraId="51B9D5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D．纠正</w:t>
      </w:r>
    </w:p>
    <w:p w14:paraId="615250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解析：控制流程：投入 转换 反馈 对比 纠正。</w:t>
      </w:r>
    </w:p>
    <w:p w14:paraId="2DE359E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5FDE97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20.墙板采用靠放架堆放时与地面倾斜角度宜大于（  ）。</w:t>
      </w:r>
    </w:p>
    <w:p w14:paraId="78F314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A.80°     </w:t>
      </w:r>
    </w:p>
    <w:p w14:paraId="206E5B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B.60°     </w:t>
      </w:r>
    </w:p>
    <w:p w14:paraId="44C14D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C.70°    </w:t>
      </w:r>
    </w:p>
    <w:p w14:paraId="46D9492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D.30°</w:t>
      </w:r>
    </w:p>
    <w:p w14:paraId="18D78AF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FFB425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21.当</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就位至安装部位后，顶板吊装工人用挂钩拉住揽风绳将</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 xml:space="preserve"> </w:t>
      </w:r>
      <w:r>
        <w:rPr>
          <w:rFonts w:hint="eastAsia" w:ascii="仿宋_GB2312" w:hAnsi="仿宋_GB2312" w:eastAsia="仿宋_GB2312" w:cs="仿宋_GB2312"/>
          <w:sz w:val="28"/>
          <w:szCs w:val="28"/>
          <w:lang w:val="zh-CN"/>
        </w:rPr>
        <w:t>）</w:t>
      </w:r>
      <w:r>
        <w:rPr>
          <w:rFonts w:hint="eastAsia" w:ascii="仿宋_GB2312" w:hAnsi="仿宋_GB2312" w:eastAsia="仿宋_GB2312" w:cs="仿宋_GB2312"/>
          <w:sz w:val="28"/>
          <w:szCs w:val="28"/>
        </w:rPr>
        <w:t>预留钢筋插入现浇梁内。</w:t>
      </w:r>
    </w:p>
    <w:p w14:paraId="052C827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A.下部</w:t>
      </w:r>
    </w:p>
    <w:p w14:paraId="17968D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B.左部</w:t>
      </w:r>
    </w:p>
    <w:p w14:paraId="05AF6E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C.上部</w:t>
      </w:r>
    </w:p>
    <w:p w14:paraId="362048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D.右部</w:t>
      </w:r>
    </w:p>
    <w:p w14:paraId="0F90A4D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B0F67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22.主要适用于竖向构件（墙、柱）的钢筋连接是(    )。</w:t>
      </w:r>
    </w:p>
    <w:p w14:paraId="58F40C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259E7D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4C327A8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47947C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266D3F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81C0B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23.墙板码放储存时储存架类型有立式码放存储架、斜式码放存储架、模块式码放存储架、专用码放存储架和（ ）。</w:t>
      </w:r>
    </w:p>
    <w:p w14:paraId="76F84C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A.叠合码放存储架     </w:t>
      </w:r>
    </w:p>
    <w:p w14:paraId="2E99D3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B.悬吊码放存储架    </w:t>
      </w:r>
    </w:p>
    <w:p w14:paraId="5E6170F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C.固定式码放存储架      </w:t>
      </w:r>
    </w:p>
    <w:p w14:paraId="5B37AFF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D.竖向码放存储架</w:t>
      </w:r>
    </w:p>
    <w:p w14:paraId="026650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255A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24.预制构件重叠平运时，各层之间必须放（ ）木方支垫，且垫块位置应保证构件受力合理，上下对齐。</w:t>
      </w:r>
    </w:p>
    <w:p w14:paraId="7606DC8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A.100×100     </w:t>
      </w:r>
    </w:p>
    <w:p w14:paraId="0046DE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B.80×80    </w:t>
      </w:r>
    </w:p>
    <w:p w14:paraId="39C9AB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C.60×60    </w:t>
      </w:r>
    </w:p>
    <w:p w14:paraId="08C8DE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D.50×50</w:t>
      </w:r>
    </w:p>
    <w:p w14:paraId="1D148A9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816801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25.在混凝土浇筑之前，用海绵塞紧</w:t>
      </w:r>
      <w:r>
        <w:rPr>
          <w:rFonts w:hint="eastAsia" w:ascii="仿宋_GB2312" w:hAnsi="仿宋_GB2312" w:eastAsia="仿宋_GB2312" w:cs="仿宋_GB2312"/>
          <w:sz w:val="28"/>
          <w:szCs w:val="28"/>
          <w:lang w:val="zh-CN"/>
        </w:rPr>
        <w:t>预制外挂墙板</w:t>
      </w:r>
      <w:r>
        <w:rPr>
          <w:rFonts w:hint="eastAsia" w:ascii="仿宋_GB2312" w:hAnsi="仿宋_GB2312" w:eastAsia="仿宋_GB2312" w:cs="仿宋_GB2312"/>
          <w:sz w:val="28"/>
          <w:szCs w:val="28"/>
        </w:rPr>
        <w:t>预埋件上的套筒孔，并用胶纸缠绕，避免浇筑混凝土时（ ）。</w:t>
      </w:r>
    </w:p>
    <w:p w14:paraId="523D41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A.漏气</w:t>
      </w:r>
    </w:p>
    <w:p w14:paraId="131360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B.松脱</w:t>
      </w:r>
    </w:p>
    <w:p w14:paraId="6975327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C.混凝土浆外溢</w:t>
      </w:r>
    </w:p>
    <w:p w14:paraId="501E26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D.堵塞预埋件的套筒孔</w:t>
      </w:r>
    </w:p>
    <w:p w14:paraId="2FC7F2D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4BC0A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26.关于预制构件吊装安全的说法不正确的是（ ）</w:t>
      </w:r>
    </w:p>
    <w:p w14:paraId="5CE80BA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A.建筑施工楼层围挡高度不低于1.6m，施工顺序采用线连接结构板梁或剪力墙，超过安全操作高度，作业人员必须佩戴穿芯自锁保险带。</w:t>
      </w:r>
    </w:p>
    <w:p w14:paraId="4D12DC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 吊装前必须检查吊具、钢梁、葫芦、钢丝绳其中用品的性能是否完好，如有出现变形或者损害，必须及时更换。</w:t>
      </w:r>
    </w:p>
    <w:p w14:paraId="67ACAE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C.预制构件在安装吊具过程中，严禁拆除预制构件与存放架的安全固定装置 ，待起吊时方可将其拆除，避免构件由于自身重力或振动引起的构件倾斜和翻转。   D.预制构件吊运时，起重机械回转半径范围内，应设置警示带，严禁非作业人员进入吊装区域，以防坠物伤人。</w:t>
      </w:r>
    </w:p>
    <w:p w14:paraId="66ADBB7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1FE5C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27.机械加工灌浆套筒的加工分类代号用字母（ ）表示。</w:t>
      </w:r>
    </w:p>
    <w:p w14:paraId="064220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A.J      </w:t>
      </w:r>
    </w:p>
    <w:p w14:paraId="31ECE4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B.Z    </w:t>
      </w:r>
    </w:p>
    <w:p w14:paraId="6803A6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C.Q       </w:t>
      </w:r>
    </w:p>
    <w:p w14:paraId="6F1B31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D.B</w:t>
      </w:r>
    </w:p>
    <w:p w14:paraId="014A71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FE8A1B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28.后浇混凝土或灌浆料应达到设计强度的（   ）以上方可拆除。 </w:t>
      </w:r>
    </w:p>
    <w:p w14:paraId="3A9092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 50%             </w:t>
      </w:r>
    </w:p>
    <w:p w14:paraId="575871E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 70%           </w:t>
      </w:r>
    </w:p>
    <w:p w14:paraId="77163B6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75%           </w:t>
      </w:r>
    </w:p>
    <w:p w14:paraId="2AF1B6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w:t>
      </w:r>
    </w:p>
    <w:p w14:paraId="15FD10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8678CC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29.水平角观测所使用的全站仪、电子经纬仪和光学经纬仪，其光学（或激光）对中器的视轴与竖轴的重合度不应大于（ ）。</w:t>
      </w:r>
    </w:p>
    <w:p w14:paraId="278F8A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A.0.5mm</w:t>
      </w:r>
    </w:p>
    <w:p w14:paraId="48C9C76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B.1.0mm</w:t>
      </w:r>
    </w:p>
    <w:p w14:paraId="7FF39F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C.1.5mm</w:t>
      </w:r>
    </w:p>
    <w:p w14:paraId="4034E6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D.2.0mm</w:t>
      </w:r>
    </w:p>
    <w:p w14:paraId="487BE6A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44CCEA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30.叠合板支座处的纵向钢筋在端支座处宜从板端伸出并锚入支撑梁或墙的后浇混凝土中，锚固长度不应小于（  ）。</w:t>
      </w:r>
    </w:p>
    <w:p w14:paraId="21A03C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A.3d       </w:t>
      </w:r>
    </w:p>
    <w:p w14:paraId="1B4FFC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B.5d     </w:t>
      </w:r>
    </w:p>
    <w:p w14:paraId="669CE8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C.7d     </w:t>
      </w:r>
    </w:p>
    <w:p w14:paraId="2C8833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D.10d</w:t>
      </w:r>
    </w:p>
    <w:p w14:paraId="00230C5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B9C79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31.预应力筋放张时，混凝土强度应符合设计要求，且同条件养护的混凝土立方体抗压强度不应低于设计混凝土强度等级值的（ ）。</w:t>
      </w:r>
    </w:p>
    <w:p w14:paraId="1CDF00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A.70% </w:t>
      </w:r>
    </w:p>
    <w:p w14:paraId="321FB1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B.75% </w:t>
      </w:r>
    </w:p>
    <w:p w14:paraId="04DD274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C.80% </w:t>
      </w:r>
    </w:p>
    <w:p w14:paraId="333882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D.85%</w:t>
      </w:r>
    </w:p>
    <w:p w14:paraId="19E1C3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50788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32.施工现场钢筋套筒接头灌浆料应留置同条件养护试块，试块规格为（ ）。</w:t>
      </w:r>
    </w:p>
    <w:p w14:paraId="0D07BE5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A.40mm×40mm×160mm            </w:t>
      </w:r>
    </w:p>
    <w:p w14:paraId="7D1DE5E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B.150 mm×150 mm×150mm</w:t>
      </w:r>
    </w:p>
    <w:p w14:paraId="7F0A722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C.70.7 mm×70.7 mm×70.7 mm       </w:t>
      </w:r>
    </w:p>
    <w:p w14:paraId="4ECA909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D.100mm×100mm×100mm</w:t>
      </w:r>
    </w:p>
    <w:p w14:paraId="4C1A01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CAE82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33.构件上的预埋件和预留孔洞宜通过模具进行定位，并安装牢固，其吊环中心线位置允许误差为（ ）。</w:t>
      </w:r>
    </w:p>
    <w:p w14:paraId="6DC53D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A.1mm</w:t>
      </w:r>
    </w:p>
    <w:p w14:paraId="42C354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B.2mm</w:t>
      </w:r>
    </w:p>
    <w:p w14:paraId="5A94DCA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C.3mm</w:t>
      </w:r>
    </w:p>
    <w:p w14:paraId="1BE197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D.4mm</w:t>
      </w:r>
    </w:p>
    <w:p w14:paraId="3884E41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D2E7C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34.当房屋高度不大于10m且不超过3层时，预制剪力墙截面厚度不应小于（  ）。</w:t>
      </w:r>
    </w:p>
    <w:p w14:paraId="5B58EB3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A.100mm</w:t>
      </w:r>
    </w:p>
    <w:p w14:paraId="7D4377A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B.120mm</w:t>
      </w:r>
    </w:p>
    <w:p w14:paraId="2053805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C.140mm</w:t>
      </w:r>
    </w:p>
    <w:p w14:paraId="3E6E74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D.160mm</w:t>
      </w:r>
    </w:p>
    <w:p w14:paraId="2E69BB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93DA49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35.预制构件码放储存通常可采用平面堆放和（ ）两种方式。</w:t>
      </w:r>
    </w:p>
    <w:p w14:paraId="3CE095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A.立式堆放     </w:t>
      </w:r>
    </w:p>
    <w:p w14:paraId="0EC84C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B.叠加堆放    </w:t>
      </w:r>
    </w:p>
    <w:p w14:paraId="351FFA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C.竖向固定    </w:t>
      </w:r>
    </w:p>
    <w:p w14:paraId="26D4F1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D.竖直堆放</w:t>
      </w:r>
    </w:p>
    <w:p w14:paraId="523007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79768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36.当环境温度高于（ ）时，应采取降低灌浆料拌合物温度的措施。</w:t>
      </w:r>
    </w:p>
    <w:p w14:paraId="269E6C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A.30℃</w:t>
      </w:r>
    </w:p>
    <w:p w14:paraId="26C3CCF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B.31℃</w:t>
      </w:r>
    </w:p>
    <w:p w14:paraId="409B79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C.32℃</w:t>
      </w:r>
    </w:p>
    <w:p w14:paraId="278FEAF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D.33℃</w:t>
      </w:r>
    </w:p>
    <w:p w14:paraId="57355D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55EF5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37.预制构件与后浇混凝土、灌浆料、坐浆材料的结合面应设置粗糙面、键槽，粗糙面的面积不宜小于结合面的（  ）。</w:t>
      </w:r>
    </w:p>
    <w:p w14:paraId="16FFDFC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A.70%</w:t>
      </w:r>
    </w:p>
    <w:p w14:paraId="71385A7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B.75%</w:t>
      </w:r>
    </w:p>
    <w:p w14:paraId="19F34F2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C.80%</w:t>
      </w:r>
    </w:p>
    <w:p w14:paraId="2630C0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D.85%</w:t>
      </w:r>
    </w:p>
    <w:p w14:paraId="3747322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15B507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38.建设部按照国务院规定的职权范围，独立或由立法机关授权并强制制定、实施的规范工程建设活动的各项规章为 （  ）。</w:t>
      </w:r>
    </w:p>
    <w:p w14:paraId="672BBB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A．建设工程法律</w:t>
      </w:r>
    </w:p>
    <w:p w14:paraId="13B994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C．建设工程部门规章</w:t>
      </w:r>
    </w:p>
    <w:p w14:paraId="5170BE1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B．建设工程行政法规</w:t>
      </w:r>
    </w:p>
    <w:p w14:paraId="6D39414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D．建设工程单行条例</w:t>
      </w:r>
    </w:p>
    <w:p w14:paraId="488977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CA984D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39.采用消除应力钢丝或钢绞线作为预应力筋的先张法构件，尚不应低于（  ）。</w:t>
      </w:r>
    </w:p>
    <w:p w14:paraId="6E5A18C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A.15MPa</w:t>
      </w:r>
    </w:p>
    <w:p w14:paraId="1174662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B.20MPa</w:t>
      </w:r>
    </w:p>
    <w:p w14:paraId="397EB4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C.25Mpa</w:t>
      </w:r>
    </w:p>
    <w:p w14:paraId="4CDFEC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D.30Mpa</w:t>
      </w:r>
    </w:p>
    <w:p w14:paraId="45711A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F1D17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40.预制楼梯施工流程正确的是（ ）</w:t>
      </w:r>
    </w:p>
    <w:p w14:paraId="3A257B0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A.定位钢筋预埋及吊具安装→预制楼梯的安装及校正→预制楼梯吊运→预制楼梯与现浇结构节点处理→预留洞口以及施工缝隙填补。</w:t>
      </w:r>
    </w:p>
    <w:p w14:paraId="4AED26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B.定位钢筋预埋及吊具安装→预制楼梯吊运→预制楼梯与现浇结构节点处理→预制楼梯的安装及校正→预留洞口以及施工缝隙填补。</w:t>
      </w:r>
    </w:p>
    <w:p w14:paraId="06F8C10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C.定位钢筋预埋及吊具安装→预制楼梯吊运→预制楼梯的安装及校正→预制楼梯与现浇结构节点处理→预留洞口以及施工缝隙填补。</w:t>
      </w:r>
    </w:p>
    <w:p w14:paraId="1012141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D.定位钢筋预埋及吊具安装→预制楼梯吊运→预制楼梯的安装及校正→预留洞口以及施工缝隙填补→预制楼梯与现浇结构节点处理。</w:t>
      </w:r>
    </w:p>
    <w:p w14:paraId="20999B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FECCC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41.关于预制剪力墙、柱的安装叙述不正确的是（ ）</w:t>
      </w:r>
    </w:p>
    <w:p w14:paraId="7A6BB9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A.在预制剪力墙安装施工层配置一名信号工和四名吊装工；</w:t>
      </w:r>
    </w:p>
    <w:p w14:paraId="11C11AF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B.在吊装工的指挥下，塔吊将预制剪力墙、柱下落至设计安装位置；</w:t>
      </w:r>
    </w:p>
    <w:p w14:paraId="383557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C.下一层预制剪力墙墙、柱的竖向预留钢筋插入预制剪力墙、柱底部的套筒中，定向入座后，立即加设不少于2根的斜支撑对预制剪力墙、柱临时固定；</w:t>
      </w:r>
    </w:p>
    <w:p w14:paraId="71581F0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D.斜支撑与楼面的水平夹角不应小于60</w:t>
      </w:r>
      <w:r>
        <w:rPr>
          <w:rFonts w:hint="eastAsia" w:ascii="仿宋_GB2312" w:hAnsi="仿宋_GB2312" w:eastAsia="仿宋_GB2312" w:cs="仿宋_GB2312"/>
          <w:sz w:val="28"/>
          <w:szCs w:val="28"/>
          <w:lang w:eastAsia="ja-JP"/>
        </w:rPr>
        <w:t>゜</w:t>
      </w:r>
      <w:r>
        <w:rPr>
          <w:rFonts w:hint="eastAsia" w:ascii="仿宋_GB2312" w:hAnsi="仿宋_GB2312" w:eastAsia="仿宋_GB2312" w:cs="仿宋_GB2312"/>
          <w:sz w:val="28"/>
          <w:szCs w:val="28"/>
        </w:rPr>
        <w:t>。</w:t>
      </w:r>
    </w:p>
    <w:p w14:paraId="5CAA281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lang w:eastAsia="ja-JP"/>
        </w:rPr>
      </w:pPr>
    </w:p>
    <w:p w14:paraId="06D0627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42.套筒接头一端采用灌浆方式连接，另一端采用非灌浆方式（通常采用螺纹连接）连接钢筋，这种灌浆套筒为（ ）。</w:t>
      </w:r>
    </w:p>
    <w:p w14:paraId="035DD82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423A2C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4CBADC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37B4976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262063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38EF6A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43.预制梁或叠合梁安装顺序宜遵循（  ）的原则。</w:t>
      </w:r>
    </w:p>
    <w:p w14:paraId="5E99A23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A.先主梁后次梁、先高后低</w:t>
      </w:r>
    </w:p>
    <w:p w14:paraId="46F1C6C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B.先主梁后次梁、先低后高</w:t>
      </w:r>
    </w:p>
    <w:p w14:paraId="446327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C.先次梁后主梁、先高后低</w:t>
      </w:r>
    </w:p>
    <w:p w14:paraId="2AEC02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D.先次梁后主梁、先低后高</w:t>
      </w:r>
    </w:p>
    <w:p w14:paraId="3B1664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52C27D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44.套筒接头两端均采用灌浆方式连接钢筋，这种灌浆套筒为（ ）。 </w:t>
      </w:r>
    </w:p>
    <w:p w14:paraId="6A00D08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A.全灌浆套筒         </w:t>
      </w:r>
    </w:p>
    <w:p w14:paraId="3C4C7CB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B.铸造灌浆套筒  </w:t>
      </w:r>
    </w:p>
    <w:p w14:paraId="5D59891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C.机械加工灌浆套筒   </w:t>
      </w:r>
    </w:p>
    <w:p w14:paraId="4EED26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D.半灌浆套筒</w:t>
      </w:r>
    </w:p>
    <w:p w14:paraId="7AFB175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DBAEB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45. 安装预制墙板、预制柱等竖向构件时，应采用可调（ ）临时固定；支撑的位置应避免与模板支架、相邻支撑冲突。</w:t>
      </w:r>
    </w:p>
    <w:p w14:paraId="56E67C7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A.横支撑</w:t>
      </w:r>
    </w:p>
    <w:p w14:paraId="63414F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B.竖支撑</w:t>
      </w:r>
    </w:p>
    <w:p w14:paraId="5B8FCD0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C.斜支撑</w:t>
      </w:r>
    </w:p>
    <w:p w14:paraId="36BA532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D.剪刀撑</w:t>
      </w:r>
    </w:p>
    <w:p w14:paraId="2513BF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01A9592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46.由于操作面的限制，不便于混凝土的振捣密实时，宜采用()结合部位或接缝处混凝土施工，并应符合国家现行有关标准的规定（   ）。                               </w:t>
      </w:r>
    </w:p>
    <w:p w14:paraId="58CDCC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A、微膨胀混凝土</w:t>
      </w:r>
      <w:r>
        <w:rPr>
          <w:rFonts w:hint="eastAsia" w:ascii="仿宋_GB2312" w:hAnsi="仿宋_GB2312" w:eastAsia="仿宋_GB2312" w:cs="仿宋_GB2312"/>
          <w:sz w:val="28"/>
          <w:szCs w:val="28"/>
        </w:rPr>
        <w:tab/>
      </w:r>
    </w:p>
    <w:p w14:paraId="6A1C4F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B、自密实混凝土</w:t>
      </w:r>
    </w:p>
    <w:p w14:paraId="5B1174D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C、细石混凝土</w:t>
      </w:r>
      <w:r>
        <w:rPr>
          <w:rFonts w:hint="eastAsia" w:ascii="仿宋_GB2312" w:hAnsi="仿宋_GB2312" w:eastAsia="仿宋_GB2312" w:cs="仿宋_GB2312"/>
          <w:sz w:val="28"/>
          <w:szCs w:val="28"/>
        </w:rPr>
        <w:tab/>
      </w:r>
    </w:p>
    <w:p w14:paraId="47BC7B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D、高强混凝土</w:t>
      </w:r>
    </w:p>
    <w:p w14:paraId="24D9DE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53C6C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47.安装施工前，应核对()的混凝土强度、外观质量、尺寸偏差等符合现行国家标准《混凝土结构工程施工规范》GB50666和本规程的有关规定，并应核对预制构件的混凝土强度及预制构件和配件的型号、规格、数量等符合设计要求。(    )</w:t>
      </w:r>
    </w:p>
    <w:p w14:paraId="0A18157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A、已养护完成结构</w:t>
      </w:r>
      <w:r>
        <w:rPr>
          <w:rFonts w:hint="eastAsia" w:ascii="仿宋_GB2312" w:hAnsi="仿宋_GB2312" w:eastAsia="仿宋_GB2312" w:cs="仿宋_GB2312"/>
          <w:sz w:val="28"/>
          <w:szCs w:val="28"/>
        </w:rPr>
        <w:tab/>
      </w:r>
    </w:p>
    <w:p w14:paraId="58FD6DB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B、已浇筑完成结构</w:t>
      </w:r>
    </w:p>
    <w:p w14:paraId="0D66273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C、已施工完成结构</w:t>
      </w:r>
    </w:p>
    <w:p w14:paraId="22FB7C3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D、以上都是</w:t>
      </w:r>
    </w:p>
    <w:p w14:paraId="24D920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8CFE6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48.预制墙和板构件的安装尺寸允许偏差检验中，在同一检验批内，应按有代表性的自然间抽查10%，且不少于（ ）间。</w:t>
      </w:r>
    </w:p>
    <w:p w14:paraId="1AB7950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A.2   </w:t>
      </w:r>
    </w:p>
    <w:p w14:paraId="0FDCC6C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B.3   </w:t>
      </w:r>
    </w:p>
    <w:p w14:paraId="23C33BC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C.4   </w:t>
      </w:r>
    </w:p>
    <w:p w14:paraId="13D8251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D.5</w:t>
      </w:r>
    </w:p>
    <w:p w14:paraId="6612E1B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D6A93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49.以下关于现阶段装配式建筑发展的重点推进方向错误的是                  (     )</w:t>
      </w:r>
    </w:p>
    <w:p w14:paraId="7CAE796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A.主体结构由预制部品部件的应用向建筑各系统集成转变</w:t>
      </w:r>
    </w:p>
    <w:p w14:paraId="4C735BA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B.装饰装修与主体结构的一体化发展</w:t>
      </w:r>
    </w:p>
    <w:p w14:paraId="0090C2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C.部品部件的标准化应用和产品集成</w:t>
      </w:r>
    </w:p>
    <w:p w14:paraId="4C8E333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D.精装修是装配式建筑的倡导方向</w:t>
      </w:r>
    </w:p>
    <w:p w14:paraId="064F079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0E4006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50.我国装配式建筑发展大力推行EPC管理模式，其中</w:t>
      </w:r>
      <w:bookmarkStart w:id="0" w:name="OLE_LINK5"/>
      <w:bookmarkStart w:id="1" w:name="OLE_LINK6"/>
      <w:r>
        <w:rPr>
          <w:rFonts w:hint="eastAsia" w:ascii="仿宋_GB2312" w:hAnsi="仿宋_GB2312" w:eastAsia="仿宋_GB2312" w:cs="仿宋_GB2312"/>
          <w:sz w:val="28"/>
          <w:szCs w:val="28"/>
        </w:rPr>
        <w:t>EPC</w:t>
      </w:r>
      <w:bookmarkEnd w:id="0"/>
      <w:bookmarkEnd w:id="1"/>
      <w:r>
        <w:rPr>
          <w:rFonts w:hint="eastAsia" w:ascii="仿宋_GB2312" w:hAnsi="仿宋_GB2312" w:eastAsia="仿宋_GB2312" w:cs="仿宋_GB2312"/>
          <w:sz w:val="28"/>
          <w:szCs w:val="28"/>
        </w:rPr>
        <w:t>指的是（ ）。</w:t>
      </w:r>
    </w:p>
    <w:p w14:paraId="65F05E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A.施工装配一体化</w:t>
      </w:r>
    </w:p>
    <w:p w14:paraId="516A75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B.工程总承包</w:t>
      </w:r>
    </w:p>
    <w:p w14:paraId="7C35AE8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C.项目总承包</w:t>
      </w:r>
    </w:p>
    <w:p w14:paraId="327583A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D.设计标准化</w:t>
      </w:r>
    </w:p>
    <w:p w14:paraId="61496FD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9539B5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二、多项选择题（共15题，每题2分，计30分。其中5个备选项中包含2个及以上正确答案，错选、多选、漏选均不得分）</w:t>
      </w:r>
    </w:p>
    <w:p w14:paraId="777A259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1.关于场区控制测量的说法，错误的有（  ）。</w:t>
      </w:r>
    </w:p>
    <w:p w14:paraId="2401611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A.控制网点位应选在通视良好、土质坚实、便于施测、利于长期保存的地点</w:t>
      </w:r>
    </w:p>
    <w:p w14:paraId="63F732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B.建筑方格网点的布设，应与建（构）筑物的设计轴线平行</w:t>
      </w:r>
    </w:p>
    <w:p w14:paraId="1D65F00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C.当采用导线网作为场区控制网时，导线相邻边的长度之比不宜超过1：4</w:t>
      </w:r>
    </w:p>
    <w:p w14:paraId="6AB6A7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D.场区高程控制网，应布设成闭合环线、附合路线或结点网</w:t>
      </w:r>
    </w:p>
    <w:p w14:paraId="7C4844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E.场区水准点应单独布设在场地相对稳定的区域，不得设在平面控制点的标石上</w:t>
      </w:r>
    </w:p>
    <w:p w14:paraId="7B7E19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B564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2．下列关于工程结算方式的有关表述中，正确的是(    )。</w:t>
      </w:r>
    </w:p>
    <w:p w14:paraId="5CDF4BC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A．可以先预付部分工程款，在施工过程按月结算工程进度款，竣工后进行竣工结算</w:t>
      </w:r>
    </w:p>
    <w:p w14:paraId="7D6A702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B．实行竣工后一次结算方式的，承包商不能预支工程款</w:t>
      </w:r>
    </w:p>
    <w:p w14:paraId="775E3D3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 实行按月结算的，当月结算的工程款应与工程形象进度一致，竣工后不再结算</w:t>
      </w:r>
    </w:p>
    <w:p w14:paraId="75607E1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D．实行分阶段结算的，可以按月预支工程款</w:t>
      </w:r>
    </w:p>
    <w:p w14:paraId="11D1267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E．实行竣工后一次结算的工程，当年结算的工程款应与分年度的工程量一致，年终不另清算</w:t>
      </w:r>
    </w:p>
    <w:p w14:paraId="1FBDB0C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B3353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3.叠合板应按现行国家标准进行设计，并应符合下列哪些规定（   ）。</w:t>
      </w:r>
    </w:p>
    <w:p w14:paraId="0B29729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A.叠合板的预制板度不宜小于 60mm,后浇混凝土叠合层厚度不应小于60mm</w:t>
      </w:r>
    </w:p>
    <w:p w14:paraId="501CE8D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B.当叠合板的预制板采用空心板时，板端空腔应封堵</w:t>
      </w:r>
    </w:p>
    <w:p w14:paraId="001E250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C.跨度大于3m的叠合板，宜采用桁架钢筋混凝土叠合板</w:t>
      </w:r>
    </w:p>
    <w:p w14:paraId="1F7E4C1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D.跨度大于6m的叠合板，宜采用预应力混凝土叠合板</w:t>
      </w:r>
    </w:p>
    <w:p w14:paraId="4B3AC99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E.跨度小于3m的叠合板，宜采用桁架钢筋混凝土叠合板</w:t>
      </w:r>
    </w:p>
    <w:p w14:paraId="2954213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B8AE4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4.预制钢筋混凝土楼梯,根据实际情况均匀振捣，振动棒（  ），振捣间距（  ），每处振捣约20-30秒；根据砼料坍落度适当调整振捣时间。</w:t>
      </w:r>
    </w:p>
    <w:p w14:paraId="3A69A18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A.应快插慢拔     </w:t>
      </w:r>
    </w:p>
    <w:p w14:paraId="0165BA6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B.应慢插快拔       </w:t>
      </w:r>
    </w:p>
    <w:p w14:paraId="36AC50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C.10-15 cm    </w:t>
      </w:r>
    </w:p>
    <w:p w14:paraId="0BA153C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D.15-20cm        </w:t>
      </w:r>
    </w:p>
    <w:p w14:paraId="4717A9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E.20-30 cm</w:t>
      </w:r>
    </w:p>
    <w:p w14:paraId="71C799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14C9D9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5.当未设置桁架钢筋时，叠合板的预制板与后浇混凝土叠合层之间应设置抗剪构造钢筋，下列做法正确的是（  ）。 </w:t>
      </w:r>
    </w:p>
    <w:p w14:paraId="43461A3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A.单向叠合板跨度大于4．0m时，距支座1／4跨范围内；</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B.双向叠合板短向跨度大于4．0m时，距四边支座1／4短跨范围内；</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C.悬挑叠合板；</w:t>
      </w:r>
      <w:r>
        <w:rPr>
          <w:rFonts w:hint="eastAsia" w:ascii="仿宋_GB2312" w:hAnsi="仿宋_GB2312" w:eastAsia="仿宋_GB2312" w:cs="仿宋_GB2312"/>
          <w:sz w:val="28"/>
          <w:szCs w:val="28"/>
        </w:rPr>
        <w:br w:type="textWrapping"/>
      </w:r>
      <w:r>
        <w:rPr>
          <w:rFonts w:hint="eastAsia" w:ascii="仿宋_GB2312" w:hAnsi="仿宋_GB2312" w:eastAsia="仿宋_GB2312" w:cs="仿宋_GB2312"/>
          <w:sz w:val="28"/>
          <w:szCs w:val="28"/>
        </w:rPr>
        <w:t>D.悬挑板的上部纵向受力钢筋在相邻叠合板的后浇混凝土锚固范围内。</w:t>
      </w:r>
    </w:p>
    <w:p w14:paraId="7367CB6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E.单向叠合板跨度小于4．0m时。</w:t>
      </w:r>
    </w:p>
    <w:p w14:paraId="6FF3F79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D6DC0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6.预制混凝土构件与后浇混凝土、灌浆料、坐浆材料的接触面须做成    (     )</w:t>
      </w:r>
    </w:p>
    <w:p w14:paraId="7684C96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A.粗糙面</w:t>
      </w:r>
    </w:p>
    <w:p w14:paraId="5F2FE65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B.光滑面</w:t>
      </w:r>
    </w:p>
    <w:p w14:paraId="4BA545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C.抹压面</w:t>
      </w:r>
    </w:p>
    <w:p w14:paraId="1E5C469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D.键槽</w:t>
      </w:r>
    </w:p>
    <w:p w14:paraId="550DB8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E.叠合层</w:t>
      </w:r>
    </w:p>
    <w:p w14:paraId="0A67DFD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4E03438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7.装配式混凝土结构后浇混凝土部分的模板与支架应符合下列规定（ ）。</w:t>
      </w:r>
    </w:p>
    <w:p w14:paraId="6E43492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A.装配式混凝土结构宜采用工具式支架和定型模板。</w:t>
      </w:r>
    </w:p>
    <w:p w14:paraId="2659F0E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B.模板应保证后浇混凝土部分形状、尺寸和位置准确。</w:t>
      </w:r>
    </w:p>
    <w:p w14:paraId="637A928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C.模板与预制构件接缝处应采取防止漏浆的措施，可粘贴密封条。</w:t>
      </w:r>
    </w:p>
    <w:p w14:paraId="7053EDA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D.由于墙面平整，不需粘贴密封条防止漏浆。</w:t>
      </w:r>
    </w:p>
    <w:p w14:paraId="5ED10AB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E.模板必须采用铝模板，效果更好。</w:t>
      </w:r>
    </w:p>
    <w:p w14:paraId="1495E4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556170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8.预制墙体混凝土振捣时，振捣器宜采用（   ），混凝土振捣完成后应用机械抹平压光。</w:t>
      </w:r>
    </w:p>
    <w:p w14:paraId="162C23A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A.人工振捣    </w:t>
      </w:r>
    </w:p>
    <w:p w14:paraId="36611EE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B.振动平台    </w:t>
      </w:r>
    </w:p>
    <w:p w14:paraId="46EB5E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C.内部振动器    </w:t>
      </w:r>
    </w:p>
    <w:p w14:paraId="4E89EC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D.外部振动器      </w:t>
      </w:r>
    </w:p>
    <w:p w14:paraId="1C3DDF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E.平板振动器</w:t>
      </w:r>
    </w:p>
    <w:p w14:paraId="0CB581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A39F4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9.施工安全控制的动态性是由(  BC)引起的。</w:t>
      </w:r>
    </w:p>
    <w:p w14:paraId="0C5DCB0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A．项目的控制面广    </w:t>
      </w:r>
    </w:p>
    <w:p w14:paraId="054351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B．项目的单件性</w:t>
      </w:r>
    </w:p>
    <w:p w14:paraId="028BC9D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施工项目的分散性    </w:t>
      </w:r>
    </w:p>
    <w:p w14:paraId="47CBCE3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D．控制的严谨性</w:t>
      </w:r>
    </w:p>
    <w:p w14:paraId="70B3174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E．控制的主观性</w:t>
      </w:r>
    </w:p>
    <w:p w14:paraId="2190127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2086B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10.水平预制构件安装采用临时支撑时，做法正确的是 (      )</w:t>
      </w:r>
    </w:p>
    <w:p w14:paraId="0DDDED0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A.首层支撑架体的地基应平稳坚实，宜进行硬化处理</w:t>
      </w:r>
    </w:p>
    <w:p w14:paraId="15DA323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B.临时支撑的间距及其与墙、柱、梁边的净距应经设计计算确定，竖向连续支撑层数不宜少于2层且上下层支撑宜对准</w:t>
      </w:r>
    </w:p>
    <w:p w14:paraId="6EC5C65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C.叠合板预制底板下部支架宜选用定型独立钢支柱，竖向支撑间距应经计算确定</w:t>
      </w:r>
    </w:p>
    <w:p w14:paraId="3457E22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D.预制构件与吊具的分离应在校准定位及临时支撑安装前完进行</w:t>
      </w:r>
    </w:p>
    <w:p w14:paraId="2A8CFD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E.预制构件与吊具的分离应在校准定位及临时支撑安装后完进行</w:t>
      </w:r>
    </w:p>
    <w:p w14:paraId="7DE2AB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7BD12EC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11.当测设的角度精度要求一般时，测设的具体步骤是（  ）。</w:t>
      </w:r>
    </w:p>
    <w:p w14:paraId="22FCC23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A.设在地面上已有AB方向，要在A点以AB为起始方向，按设计图给出或计算出向右测设的水平角β</w:t>
      </w:r>
    </w:p>
    <w:p w14:paraId="55B29E4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B.将经纬仪安置在A点，用盘左测设β</w:t>
      </w:r>
    </w:p>
    <w:p w14:paraId="406FDB4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C.固定照准部，倒转望远镜成盘右，测设β角</w:t>
      </w:r>
    </w:p>
    <w:p w14:paraId="1E3BC41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D.取盘左、盘右测设的中点，为所测设的β角</w:t>
      </w:r>
    </w:p>
    <w:p w14:paraId="75DEF1B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E.测量A点水平角进行角度改正</w:t>
      </w:r>
    </w:p>
    <w:p w14:paraId="04EBABE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602EC68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12.受弯叠合构件的装配施工应符合下列规定（  ）。</w:t>
      </w:r>
    </w:p>
    <w:p w14:paraId="7D844FA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A.应根据设计要求或施工方案设置临时支撑</w:t>
      </w:r>
    </w:p>
    <w:p w14:paraId="57F00B7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B.施工荷载宜均匀布置，并不应超过设计规定</w:t>
      </w:r>
    </w:p>
    <w:p w14:paraId="2EF39ED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C.在混凝土浇筑前，应按设计要求检查结合面的粗糙度及预制构件的外漏钢筋</w:t>
      </w:r>
    </w:p>
    <w:p w14:paraId="53210E5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D.叠合构件在后浇混凝土强度达到设计要求前，可拆除临时支撑</w:t>
      </w:r>
    </w:p>
    <w:p w14:paraId="363126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E.构件吊装可在大雨大风天气下施工</w:t>
      </w:r>
    </w:p>
    <w:p w14:paraId="16AA93F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8FA35A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13.预制楼梯构件养护要求正确的是（  ）。</w:t>
      </w:r>
    </w:p>
    <w:p w14:paraId="21E83A5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A.对采用硅酸盐水泥、普通硅酸盐水泥或矿渣硅酸盐水泥拌制的混凝土，不得少于7d；     </w:t>
      </w:r>
    </w:p>
    <w:p w14:paraId="651378D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B.对掺用缓凝型外加剂或有抗渗要求的混凝土，不得少于21d； </w:t>
      </w:r>
    </w:p>
    <w:p w14:paraId="3710C54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C. 冬季采取加盖养护罩蒸汽养护的方式，养护罩内外温差小于200C时，方可拆除养护罩进行自然养护； </w:t>
      </w:r>
    </w:p>
    <w:p w14:paraId="196BF19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D.自然养护要保持楼梯表面湿润；</w:t>
      </w:r>
    </w:p>
    <w:p w14:paraId="5D209A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E.对采用硅酸盐水泥、普通硅酸盐水泥或矿渣硅酸盐水泥拌制的混凝土，不得少于14d；</w:t>
      </w:r>
    </w:p>
    <w:p w14:paraId="46D32BFD">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E4B517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14.预制混凝土构件吊装，当绑扎水平吊升的构件时，应符合（ ）规定。 </w:t>
      </w:r>
    </w:p>
    <w:p w14:paraId="1A802F4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A.绑扎点应按设计规定设置，无规定时，最外吊点应在距构件两端1/5~1/6构件全长处进行对称绑扎</w:t>
      </w:r>
    </w:p>
    <w:p w14:paraId="42A348E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B.各支吊索内力的合力作用点应处在构件重心线上</w:t>
      </w:r>
    </w:p>
    <w:p w14:paraId="0D2FCA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C.屋架绑扎点宜在节点上或靠近节点</w:t>
      </w:r>
    </w:p>
    <w:p w14:paraId="7D78D73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D.水平吊升构件绑扎钢丝绳与物体间的水平夹角可小于45°</w:t>
      </w:r>
    </w:p>
    <w:p w14:paraId="1FE5015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2F72496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15下列关于绑扎水平吊升的构件时各支吊索内力的合力作用点(或称绑扎中心)必须处在构件位置错误的是（     ）。</w:t>
      </w:r>
    </w:p>
    <w:p w14:paraId="4E765DC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A.圆心</w:t>
      </w:r>
      <w:r>
        <w:rPr>
          <w:rFonts w:hint="eastAsia" w:ascii="仿宋_GB2312" w:hAnsi="仿宋_GB2312" w:eastAsia="仿宋_GB2312" w:cs="仿宋_GB2312"/>
          <w:sz w:val="28"/>
          <w:szCs w:val="28"/>
        </w:rPr>
        <w:tab/>
      </w:r>
    </w:p>
    <w:p w14:paraId="2DF8EDC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B.中心</w:t>
      </w:r>
    </w:p>
    <w:p w14:paraId="41C65AC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C.铅锤</w:t>
      </w:r>
      <w:r>
        <w:rPr>
          <w:rFonts w:hint="eastAsia" w:ascii="仿宋_GB2312" w:hAnsi="仿宋_GB2312" w:eastAsia="仿宋_GB2312" w:cs="仿宋_GB2312"/>
          <w:sz w:val="28"/>
          <w:szCs w:val="28"/>
        </w:rPr>
        <w:tab/>
      </w:r>
    </w:p>
    <w:p w14:paraId="7196928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D.重心</w:t>
      </w:r>
    </w:p>
    <w:p w14:paraId="38807BB8">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341715B1">
      <w:pPr>
        <w:pStyle w:val="23"/>
        <w:tabs>
          <w:tab w:val="left" w:pos="315"/>
          <w:tab w:val="left" w:pos="4200"/>
          <w:tab w:val="left" w:pos="6090"/>
        </w:tabs>
        <w:snapToGrid w:val="0"/>
        <w:spacing w:line="300" w:lineRule="auto"/>
        <w:ind w:firstLine="0" w:firstLineChars="0"/>
        <w:rPr>
          <w:rFonts w:ascii="仿宋_GB2312" w:hAnsi="仿宋_GB2312" w:eastAsia="仿宋_GB2312" w:cs="仿宋_GB2312"/>
          <w:b/>
          <w:bCs/>
          <w:sz w:val="28"/>
          <w:szCs w:val="28"/>
        </w:rPr>
      </w:pPr>
      <w:r>
        <w:rPr>
          <w:rFonts w:hint="eastAsia" w:ascii="仿宋_GB2312" w:hAnsi="仿宋_GB2312" w:eastAsia="仿宋_GB2312" w:cs="仿宋_GB2312"/>
          <w:b/>
          <w:bCs/>
          <w:sz w:val="28"/>
          <w:szCs w:val="28"/>
        </w:rPr>
        <w:t>三、判断题（共20题，每题1分，计20分）</w:t>
      </w:r>
    </w:p>
    <w:p w14:paraId="74A7E49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1.影响硅酸盐水泥凝结硬化最主要因素是水灰比，与环境的温度和湿度无关。(    )</w:t>
      </w:r>
    </w:p>
    <w:p w14:paraId="67F9650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2.预制柱吊装应校正的内容包括平面位置。(    ) </w:t>
      </w:r>
    </w:p>
    <w:p w14:paraId="65A56DD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3.构件应在脱模起吊至整修堆场或平台时进行标识，标识内容应包括工程名称、产品名称、型号、编号、生产日期，构件待检查、修补后再标注合格章及工厂名。(    )</w:t>
      </w:r>
    </w:p>
    <w:p w14:paraId="1674E3E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4.结构设计时一般以屈服强度作为强度取值的依据(     )</w:t>
      </w:r>
    </w:p>
    <w:p w14:paraId="1D589B65">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5.滑行法吊装柱时，平面布置要求绑扎点靠近基础，绑扎点、柱脚中心和基础中心三点同弧。（ ）</w:t>
      </w:r>
    </w:p>
    <w:p w14:paraId="6B4E302E">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6.双向板跨中两个方向的钢筋都是受力筋，应将沿长跨方向的钢筋放外侧。(  ) </w:t>
      </w:r>
    </w:p>
    <w:p w14:paraId="319B4149">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7.预制混凝土模具组装后，底模、侧模和端模混凝土接触面之间的局部最大缝隙不得大于1mm。(   ) </w:t>
      </w:r>
    </w:p>
    <w:p w14:paraId="2C2448A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8.后张法是先浇筑混凝土后张拉预应力筋的预应力混凝土生产方法。(  )</w:t>
      </w:r>
    </w:p>
    <w:p w14:paraId="07037B1F">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9.装配整体式剪力墙结构的房屋最大适用高度同现浇剪力墙结构。(    ) </w:t>
      </w:r>
    </w:p>
    <w:p w14:paraId="2B9708F0">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10.灌浆料的搅拌时间控制在4-5分钟，直到产生均匀砂浆，且不产生泌水现象，静置2分钟，排出气泡。(   ) </w:t>
      </w:r>
    </w:p>
    <w:p w14:paraId="5C3EAD43">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11.分仓区域内任意两个灌浆套筒间距不宜超过1.5m。(  ) </w:t>
      </w:r>
    </w:p>
    <w:p w14:paraId="6B89C784">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12.吊装时吊索的直径和长度要根据吊装构件外形尺寸和吊装构件的吊点位置确定。(    ) </w:t>
      </w:r>
    </w:p>
    <w:p w14:paraId="1FB80D8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13.钢筋套筒灌浆连接应用于装配式混凝土结构中竖向构件钢筋对接时，钢筋灌浆套筒在竖向预制构件顶部时，连接时在灌浆套筒中插入带肋钢筋后注入灌浆料拌合物。(   )</w:t>
      </w:r>
    </w:p>
    <w:p w14:paraId="72EC20E6">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14.有杭震设防要求时,外挂墙板及其与主体结构的连接节点，应进行抗震设计。(    ) </w:t>
      </w:r>
    </w:p>
    <w:p w14:paraId="67B7197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15.预制柱、墙安装前，应在预制构件及其支撑构件间设置垫片，宜采用钢制垫片，有利于均匀受力并调整构件底部标高。(    ) </w:t>
      </w:r>
    </w:p>
    <w:p w14:paraId="76595C52">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16. 框架梁预制部分的腰筋不承受扭矩时，可不伸入梁柱节点区。(    )</w:t>
      </w:r>
    </w:p>
    <w:p w14:paraId="5D37B16B">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17.预制剪力墙的边缘构件的竖向钢筋应逐根连接。(   ) </w:t>
      </w:r>
    </w:p>
    <w:p w14:paraId="3C9E4AFC">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18.现场文明施工的要求是科学管理、创建文明现场。(    ) </w:t>
      </w:r>
    </w:p>
    <w:p w14:paraId="1FAF7BB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19.装配整体式混凝土框架结构中，当采用叠合梁时，框架梁的后浇混凝土叠合层厚度不宜小于120mm，次梁的后浇混凝土叠合层厚度不宜小于100mm。(    ) </w:t>
      </w:r>
    </w:p>
    <w:p w14:paraId="2A29F0FA">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r>
        <w:rPr>
          <w:rFonts w:hint="eastAsia" w:ascii="仿宋_GB2312" w:hAnsi="仿宋_GB2312" w:eastAsia="仿宋_GB2312" w:cs="仿宋_GB2312"/>
          <w:sz w:val="28"/>
          <w:szCs w:val="28"/>
        </w:rPr>
        <w:t xml:space="preserve">20.预制混凝土模具的混凝土接触面，不应有裂缝、结疤、分层等缺陷，如有某些擦伤、锈蚀、划痕、压痕和烧伤，其深度不得大于0.5mm，宽度不得大于2mm。(   ) </w:t>
      </w:r>
    </w:p>
    <w:p w14:paraId="260E63F7">
      <w:pPr>
        <w:pStyle w:val="23"/>
        <w:tabs>
          <w:tab w:val="left" w:pos="315"/>
          <w:tab w:val="left" w:pos="4200"/>
          <w:tab w:val="left" w:pos="6090"/>
        </w:tabs>
        <w:snapToGrid w:val="0"/>
        <w:spacing w:line="300" w:lineRule="auto"/>
        <w:ind w:firstLine="0" w:firstLineChars="0"/>
        <w:rPr>
          <w:rFonts w:ascii="仿宋_GB2312" w:hAnsi="仿宋_GB2312" w:eastAsia="仿宋_GB2312" w:cs="仿宋_GB2312"/>
          <w:sz w:val="28"/>
          <w:szCs w:val="28"/>
        </w:rPr>
      </w:pPr>
    </w:p>
    <w:p w14:paraId="111DB69A">
      <w:pPr>
        <w:pStyle w:val="14"/>
        <w:jc w:val="center"/>
        <w:rPr>
          <w:rFonts w:ascii="仿宋_GB2312" w:hAnsi="仿宋_GB2312" w:eastAsia="仿宋_GB2312" w:cs="仿宋_GB2312"/>
          <w:b/>
          <w:sz w:val="30"/>
          <w:szCs w:val="30"/>
        </w:rPr>
      </w:pPr>
    </w:p>
    <w:p w14:paraId="3BF2EA71">
      <w:pPr>
        <w:pStyle w:val="14"/>
        <w:jc w:val="center"/>
        <w:rPr>
          <w:rFonts w:ascii="仿宋_GB2312" w:hAnsi="仿宋_GB2312" w:eastAsia="仿宋_GB2312" w:cs="仿宋_GB2312"/>
          <w:b/>
          <w:sz w:val="30"/>
          <w:szCs w:val="30"/>
        </w:rPr>
      </w:pPr>
    </w:p>
    <w:p w14:paraId="7118C93D">
      <w:pPr>
        <w:pStyle w:val="14"/>
        <w:jc w:val="center"/>
        <w:rPr>
          <w:rFonts w:ascii="仿宋_GB2312" w:hAnsi="仿宋_GB2312" w:eastAsia="仿宋_GB2312" w:cs="仿宋_GB2312"/>
          <w:b/>
          <w:sz w:val="30"/>
          <w:szCs w:val="30"/>
        </w:rPr>
      </w:pPr>
    </w:p>
    <w:p w14:paraId="5EED2158">
      <w:pPr>
        <w:pStyle w:val="14"/>
        <w:jc w:val="center"/>
        <w:rPr>
          <w:rFonts w:ascii="仿宋_GB2312" w:hAnsi="仿宋_GB2312" w:eastAsia="仿宋_GB2312" w:cs="仿宋_GB2312"/>
          <w:b/>
          <w:sz w:val="30"/>
          <w:szCs w:val="30"/>
        </w:rPr>
      </w:pPr>
    </w:p>
    <w:p w14:paraId="4A25144B">
      <w:pPr>
        <w:pStyle w:val="14"/>
        <w:jc w:val="center"/>
        <w:rPr>
          <w:rFonts w:ascii="仿宋_GB2312" w:hAnsi="仿宋_GB2312" w:eastAsia="仿宋_GB2312" w:cs="仿宋_GB2312"/>
          <w:b/>
          <w:sz w:val="30"/>
          <w:szCs w:val="30"/>
        </w:rPr>
      </w:pPr>
    </w:p>
    <w:p w14:paraId="0B886D99">
      <w:pPr>
        <w:pStyle w:val="14"/>
        <w:jc w:val="center"/>
        <w:rPr>
          <w:rFonts w:ascii="仿宋_GB2312" w:hAnsi="仿宋_GB2312" w:eastAsia="仿宋_GB2312" w:cs="仿宋_GB2312"/>
          <w:b/>
          <w:sz w:val="30"/>
          <w:szCs w:val="30"/>
        </w:rPr>
      </w:pPr>
    </w:p>
    <w:p w14:paraId="0BE12CB9">
      <w:pPr>
        <w:pStyle w:val="14"/>
        <w:jc w:val="center"/>
        <w:rPr>
          <w:rFonts w:ascii="仿宋_GB2312" w:hAnsi="仿宋_GB2312" w:eastAsia="仿宋_GB2312" w:cs="仿宋_GB2312"/>
          <w:b/>
          <w:sz w:val="30"/>
          <w:szCs w:val="30"/>
        </w:rPr>
      </w:pPr>
    </w:p>
    <w:p w14:paraId="587D7A24">
      <w:pPr>
        <w:pStyle w:val="14"/>
        <w:jc w:val="center"/>
        <w:rPr>
          <w:rFonts w:ascii="仿宋_GB2312" w:hAnsi="仿宋_GB2312" w:eastAsia="仿宋_GB2312" w:cs="仿宋_GB2312"/>
          <w:b/>
          <w:sz w:val="30"/>
          <w:szCs w:val="30"/>
        </w:rPr>
      </w:pPr>
    </w:p>
    <w:p w14:paraId="60C3951D">
      <w:pPr>
        <w:pStyle w:val="14"/>
        <w:jc w:val="center"/>
        <w:rPr>
          <w:rFonts w:ascii="仿宋_GB2312" w:hAnsi="仿宋_GB2312" w:eastAsia="仿宋_GB2312" w:cs="仿宋_GB2312"/>
          <w:b/>
          <w:sz w:val="30"/>
          <w:szCs w:val="30"/>
        </w:rPr>
      </w:pPr>
    </w:p>
    <w:p w14:paraId="4A3C51CD">
      <w:pPr>
        <w:pStyle w:val="14"/>
        <w:jc w:val="center"/>
        <w:rPr>
          <w:rFonts w:ascii="仿宋_GB2312" w:hAnsi="仿宋_GB2312" w:eastAsia="仿宋_GB2312" w:cs="仿宋_GB2312"/>
          <w:b/>
          <w:sz w:val="30"/>
          <w:szCs w:val="30"/>
        </w:rPr>
      </w:pPr>
    </w:p>
    <w:p w14:paraId="071AFE44">
      <w:pPr>
        <w:pStyle w:val="14"/>
        <w:jc w:val="center"/>
        <w:rPr>
          <w:rFonts w:ascii="仿宋_GB2312" w:hAnsi="仿宋_GB2312" w:eastAsia="仿宋_GB2312" w:cs="仿宋_GB2312"/>
          <w:b/>
          <w:sz w:val="30"/>
          <w:szCs w:val="30"/>
        </w:rPr>
      </w:pPr>
    </w:p>
    <w:p w14:paraId="3199338C">
      <w:pPr>
        <w:pStyle w:val="14"/>
        <w:rPr>
          <w:rFonts w:ascii="仿宋_GB2312" w:hAnsi="仿宋_GB2312" w:eastAsia="仿宋_GB2312" w:cs="仿宋_GB2312"/>
          <w:b/>
          <w:sz w:val="30"/>
          <w:szCs w:val="30"/>
        </w:rPr>
      </w:pPr>
    </w:p>
    <w:p w14:paraId="5D5B4837">
      <w:pPr>
        <w:pStyle w:val="14"/>
        <w:jc w:val="center"/>
        <w:rPr>
          <w:rFonts w:ascii="仿宋_GB2312" w:hAnsi="仿宋_GB2312" w:eastAsia="仿宋_GB2312" w:cs="仿宋_GB2312"/>
          <w:b/>
          <w:sz w:val="30"/>
          <w:szCs w:val="30"/>
        </w:rPr>
      </w:pPr>
    </w:p>
    <w:p w14:paraId="11EE5554">
      <w:pPr>
        <w:pStyle w:val="14"/>
        <w:jc w:val="center"/>
        <w:rPr>
          <w:rFonts w:ascii="仿宋_GB2312" w:hAnsi="仿宋_GB2312" w:eastAsia="仿宋_GB2312" w:cs="仿宋_GB2312"/>
          <w:b/>
          <w:sz w:val="30"/>
          <w:szCs w:val="30"/>
        </w:rPr>
      </w:pPr>
    </w:p>
    <w:p w14:paraId="18A57C19">
      <w:pPr>
        <w:pStyle w:val="25"/>
        <w:spacing w:line="619" w:lineRule="exact"/>
        <w:ind w:firstLine="0"/>
        <w:jc w:val="center"/>
        <w:rPr>
          <w:rFonts w:hint="eastAsia"/>
          <w:b/>
          <w:bCs/>
          <w:sz w:val="32"/>
          <w:szCs w:val="32"/>
        </w:rPr>
      </w:pPr>
    </w:p>
    <w:p w14:paraId="5374309E">
      <w:pPr>
        <w:pStyle w:val="25"/>
        <w:spacing w:line="619" w:lineRule="exact"/>
        <w:ind w:firstLine="0"/>
        <w:jc w:val="center"/>
        <w:rPr>
          <w:b/>
          <w:bCs/>
          <w:sz w:val="32"/>
          <w:szCs w:val="32"/>
        </w:rPr>
      </w:pPr>
      <w:r>
        <w:rPr>
          <w:rFonts w:hint="eastAsia"/>
          <w:b/>
          <w:bCs/>
          <w:sz w:val="32"/>
          <w:szCs w:val="32"/>
        </w:rPr>
        <w:t>模块二 虚拟仿真竞赛试卷</w:t>
      </w:r>
    </w:p>
    <w:p w14:paraId="2B79F01F">
      <w:pPr>
        <w:pStyle w:val="14"/>
        <w:spacing w:line="418" w:lineRule="auto"/>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7FFD9D1D">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1、本竞赛环节为“装配式建筑构件虚拟仿真赛项”，分值为100分。该环节加权系数为0.</w:t>
      </w:r>
      <w:r>
        <w:rPr>
          <w:rFonts w:ascii="仿宋_GB2312" w:hAnsi="仿宋_GB2312" w:eastAsia="仿宋_GB2312" w:cs="仿宋_GB2312"/>
          <w:color w:val="000000"/>
          <w:kern w:val="0"/>
          <w:szCs w:val="28"/>
          <w:lang w:bidi="ar"/>
        </w:rPr>
        <w:t>2</w:t>
      </w:r>
      <w:r>
        <w:rPr>
          <w:rFonts w:hint="eastAsia" w:ascii="仿宋_GB2312" w:hAnsi="仿宋_GB2312" w:eastAsia="仿宋_GB2312" w:cs="仿宋_GB2312"/>
          <w:color w:val="000000"/>
          <w:kern w:val="0"/>
          <w:szCs w:val="28"/>
          <w:lang w:bidi="ar"/>
        </w:rPr>
        <w:t>。</w:t>
      </w:r>
    </w:p>
    <w:p w14:paraId="3F816928">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2、本竞赛环节总时长为连续90分钟。</w:t>
      </w:r>
    </w:p>
    <w:p w14:paraId="62ABF4AD">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3、竞赛过程中请参赛选手注意赛场纪律.</w:t>
      </w:r>
    </w:p>
    <w:p w14:paraId="79D6862F">
      <w:pPr>
        <w:pStyle w:val="14"/>
        <w:spacing w:line="418" w:lineRule="auto"/>
        <w:ind w:firstLine="560" w:firstLineChars="200"/>
      </w:pPr>
      <w:r>
        <w:rPr>
          <w:rFonts w:hint="eastAsia" w:ascii="仿宋_GB2312" w:hAnsi="仿宋_GB2312" w:eastAsia="仿宋_GB2312" w:cs="仿宋_GB2312"/>
          <w:color w:val="000000"/>
          <w:kern w:val="0"/>
          <w:szCs w:val="28"/>
          <w:lang w:bidi="ar"/>
        </w:rPr>
        <w:t>4、竞赛过程中遇到意外情况，应及时向当值裁判报告，听从裁判安排，不要自行处理</w:t>
      </w:r>
      <w:r>
        <w:rPr>
          <w:rFonts w:hint="eastAsia"/>
          <w:szCs w:val="28"/>
          <w:lang w:bidi="ar"/>
        </w:rPr>
        <w:t>。</w:t>
      </w:r>
    </w:p>
    <w:p w14:paraId="35E6A426">
      <w:pPr>
        <w:pStyle w:val="25"/>
        <w:spacing w:line="619" w:lineRule="exact"/>
        <w:ind w:firstLine="0"/>
        <w:jc w:val="center"/>
        <w:rPr>
          <w:b/>
          <w:bCs/>
          <w:sz w:val="32"/>
          <w:szCs w:val="32"/>
        </w:rPr>
      </w:pPr>
      <w:r>
        <w:rPr>
          <w:rFonts w:hint="eastAsia"/>
          <w:b/>
          <w:bCs/>
          <w:sz w:val="32"/>
          <w:szCs w:val="32"/>
        </w:rPr>
        <w:t>任务一：装配式构件安装虚拟仿真</w:t>
      </w:r>
    </w:p>
    <w:p w14:paraId="6C340F02">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装配式</w:t>
      </w:r>
      <w:r>
        <w:rPr>
          <w:rFonts w:ascii="仿宋_GB2312" w:hAnsi="仿宋_GB2312" w:eastAsia="仿宋_GB2312" w:cs="仿宋_GB2312"/>
          <w:color w:val="000000"/>
          <w:kern w:val="0"/>
          <w:szCs w:val="28"/>
          <w:lang w:bidi="ar"/>
        </w:rPr>
        <w:t>构件</w:t>
      </w:r>
      <w:r>
        <w:rPr>
          <w:rFonts w:hint="eastAsia" w:ascii="仿宋_GB2312" w:hAnsi="仿宋_GB2312" w:eastAsia="仿宋_GB2312" w:cs="仿宋_GB2312"/>
          <w:color w:val="000000"/>
          <w:kern w:val="0"/>
          <w:szCs w:val="28"/>
          <w:lang w:bidi="ar"/>
        </w:rPr>
        <w:t>安装虚拟仿真</w:t>
      </w:r>
      <w:r>
        <w:rPr>
          <w:rFonts w:ascii="仿宋_GB2312" w:hAnsi="仿宋_GB2312" w:eastAsia="仿宋_GB2312" w:cs="仿宋_GB2312"/>
          <w:color w:val="000000"/>
          <w:kern w:val="0"/>
          <w:szCs w:val="28"/>
          <w:lang w:bidi="ar"/>
        </w:rPr>
        <w:t>需包括构件吊装</w:t>
      </w:r>
      <w:r>
        <w:rPr>
          <w:rFonts w:hint="eastAsia" w:ascii="仿宋_GB2312" w:hAnsi="仿宋_GB2312" w:eastAsia="仿宋_GB2312" w:cs="仿宋_GB2312"/>
          <w:color w:val="000000"/>
          <w:kern w:val="0"/>
          <w:szCs w:val="28"/>
          <w:lang w:bidi="ar"/>
        </w:rPr>
        <w:t>与节点</w:t>
      </w:r>
      <w:r>
        <w:rPr>
          <w:rFonts w:ascii="仿宋_GB2312" w:hAnsi="仿宋_GB2312" w:eastAsia="仿宋_GB2312" w:cs="仿宋_GB2312"/>
          <w:color w:val="000000"/>
          <w:kern w:val="0"/>
          <w:szCs w:val="28"/>
          <w:lang w:bidi="ar"/>
        </w:rPr>
        <w:t>连接</w:t>
      </w:r>
      <w:r>
        <w:rPr>
          <w:rFonts w:hint="eastAsia" w:ascii="仿宋_GB2312" w:hAnsi="仿宋_GB2312" w:eastAsia="仿宋_GB2312" w:cs="仿宋_GB2312"/>
          <w:color w:val="000000"/>
          <w:kern w:val="0"/>
          <w:szCs w:val="28"/>
          <w:lang w:bidi="ar"/>
        </w:rPr>
        <w:t>。</w:t>
      </w:r>
    </w:p>
    <w:p w14:paraId="2430AB53">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（一）构件吊装</w:t>
      </w:r>
    </w:p>
    <w:p w14:paraId="7A2962B2">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根据任务要求进行施工准备、构件确认检查、定位放线、连接钢筋检查矫正、结合面处理、标高超平、保温条铺设、起板移位、吊装就位、临时固定矫正、工完料清等操作。</w:t>
      </w:r>
    </w:p>
    <w:p w14:paraId="20BC34D0">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（二）节点</w:t>
      </w:r>
      <w:r>
        <w:rPr>
          <w:rFonts w:ascii="仿宋_GB2312" w:hAnsi="仿宋_GB2312" w:eastAsia="仿宋_GB2312" w:cs="仿宋_GB2312"/>
          <w:color w:val="000000"/>
          <w:kern w:val="0"/>
          <w:szCs w:val="28"/>
          <w:lang w:bidi="ar"/>
        </w:rPr>
        <w:t>连接</w:t>
      </w:r>
    </w:p>
    <w:p w14:paraId="6F42C3A3">
      <w:pPr>
        <w:pStyle w:val="14"/>
        <w:spacing w:line="418" w:lineRule="auto"/>
        <w:ind w:firstLine="560" w:firstLineChars="200"/>
        <w:rPr>
          <w:rFonts w:ascii="仿宋_GB2312" w:hAnsi="仿宋_GB2312" w:eastAsia="仿宋_GB2312" w:cs="仿宋_GB2312"/>
          <w:color w:val="000000"/>
          <w:kern w:val="0"/>
          <w:szCs w:val="28"/>
          <w:lang w:bidi="ar"/>
        </w:rPr>
      </w:pPr>
      <w:r>
        <w:rPr>
          <w:rFonts w:hint="eastAsia" w:ascii="仿宋_GB2312" w:hAnsi="仿宋_GB2312" w:eastAsia="仿宋_GB2312" w:cs="仿宋_GB2312"/>
          <w:color w:val="000000"/>
          <w:kern w:val="0"/>
          <w:szCs w:val="28"/>
          <w:lang w:bidi="ar"/>
        </w:rPr>
        <w:t>根据根据任务要求进行施工准备、连接钢筋检查矫正、结合面处理、保温条粘贴、安装螺纹套筒、钢筋绑扎、模板支设、混凝土浇筑、工完料清等操作。</w:t>
      </w:r>
    </w:p>
    <w:p w14:paraId="6F582744">
      <w:pPr>
        <w:widowControl/>
        <w:spacing w:line="418" w:lineRule="auto"/>
        <w:ind w:firstLine="560" w:firstLineChars="200"/>
        <w:rPr>
          <w:sz w:val="28"/>
          <w:szCs w:val="28"/>
          <w:lang w:bidi="ar"/>
        </w:rPr>
      </w:pPr>
    </w:p>
    <w:p w14:paraId="23E76101">
      <w:pPr>
        <w:pStyle w:val="25"/>
        <w:spacing w:line="619" w:lineRule="exact"/>
        <w:ind w:firstLine="0"/>
        <w:jc w:val="center"/>
        <w:rPr>
          <w:b/>
          <w:bCs/>
          <w:sz w:val="32"/>
          <w:szCs w:val="32"/>
        </w:rPr>
      </w:pPr>
      <w:r>
        <w:rPr>
          <w:rFonts w:hint="eastAsia"/>
          <w:b/>
          <w:bCs/>
          <w:sz w:val="32"/>
          <w:szCs w:val="32"/>
        </w:rPr>
        <w:t>任务二：装配式构件灌浆虚拟仿真</w:t>
      </w:r>
    </w:p>
    <w:p w14:paraId="0AEF3674">
      <w:pPr>
        <w:widowControl/>
        <w:jc w:val="left"/>
        <w:rPr>
          <w:rFonts w:ascii="仿宋_GB2312" w:hAnsi="仿宋_GB2312" w:eastAsia="仿宋_GB2312" w:cs="仿宋_GB2312"/>
          <w:b/>
          <w:sz w:val="30"/>
          <w:szCs w:val="30"/>
        </w:rPr>
      </w:pPr>
      <w:r>
        <w:rPr>
          <w:rFonts w:hint="eastAsia" w:ascii="仿宋_GB2312" w:hAnsi="仿宋_GB2312" w:eastAsia="仿宋_GB2312" w:cs="仿宋_GB2312"/>
          <w:color w:val="000000"/>
          <w:kern w:val="0"/>
          <w:sz w:val="28"/>
          <w:szCs w:val="28"/>
          <w:lang w:bidi="ar"/>
        </w:rPr>
        <w:t>装配式建筑构件虚拟安装仿真</w:t>
      </w:r>
      <w:r>
        <w:rPr>
          <w:rFonts w:ascii="仿宋_GB2312" w:hAnsi="仿宋_GB2312" w:eastAsia="仿宋_GB2312" w:cs="仿宋_GB2312"/>
          <w:color w:val="000000"/>
          <w:kern w:val="0"/>
          <w:sz w:val="28"/>
          <w:szCs w:val="28"/>
          <w:lang w:bidi="ar"/>
        </w:rPr>
        <w:t>包括</w:t>
      </w:r>
      <w:r>
        <w:rPr>
          <w:rFonts w:hint="eastAsia" w:ascii="仿宋_GB2312" w:hAnsi="仿宋_GB2312" w:eastAsia="仿宋_GB2312" w:cs="仿宋_GB2312"/>
          <w:color w:val="000000"/>
          <w:kern w:val="0"/>
          <w:sz w:val="28"/>
          <w:szCs w:val="28"/>
          <w:lang w:bidi="ar"/>
        </w:rPr>
        <w:t>施工准备、封缝料制备、分仓、封仓、灌浆料制备、流动度检测、试块制作、灌浆施工、工完料清等操作。</w:t>
      </w:r>
      <w:r>
        <w:rPr>
          <w:rFonts w:ascii="仿宋_GB2312" w:hAnsi="仿宋_GB2312" w:eastAsia="仿宋_GB2312" w:cs="仿宋_GB2312"/>
          <w:b/>
          <w:sz w:val="30"/>
          <w:szCs w:val="30"/>
        </w:rPr>
        <w:br w:type="page"/>
      </w:r>
    </w:p>
    <w:p w14:paraId="27A16961">
      <w:pPr>
        <w:pStyle w:val="14"/>
        <w:jc w:val="center"/>
        <w:rPr>
          <w:rFonts w:ascii="仿宋_GB2312" w:hAnsi="仿宋_GB2312" w:eastAsia="仿宋_GB2312" w:cs="仿宋_GB2312"/>
          <w:b/>
          <w:kern w:val="0"/>
          <w:sz w:val="30"/>
          <w:szCs w:val="30"/>
        </w:rPr>
      </w:pPr>
      <w:r>
        <w:rPr>
          <w:rFonts w:hint="eastAsia" w:ascii="仿宋_GB2312" w:hAnsi="仿宋_GB2312" w:eastAsia="仿宋_GB2312" w:cs="仿宋_GB2312"/>
          <w:b/>
          <w:sz w:val="30"/>
          <w:szCs w:val="30"/>
        </w:rPr>
        <w:t>模块三任务一吊装</w:t>
      </w:r>
      <w:r>
        <w:rPr>
          <w:rFonts w:hint="eastAsia" w:ascii="仿宋_GB2312" w:hAnsi="仿宋_GB2312" w:eastAsia="仿宋_GB2312" w:cs="仿宋_GB2312"/>
          <w:b/>
          <w:kern w:val="0"/>
          <w:sz w:val="30"/>
          <w:szCs w:val="30"/>
        </w:rPr>
        <w:t>环节任务书</w:t>
      </w:r>
    </w:p>
    <w:p w14:paraId="765474E5">
      <w:pPr>
        <w:pStyle w:val="14"/>
        <w:jc w:val="right"/>
        <w:rPr>
          <w:rFonts w:ascii="仿宋_GB2312" w:hAnsi="仿宋_GB2312" w:eastAsia="仿宋_GB2312" w:cs="仿宋_GB2312"/>
          <w:kern w:val="0"/>
          <w:szCs w:val="28"/>
        </w:rPr>
      </w:pPr>
      <w:r>
        <w:rPr>
          <w:rFonts w:hint="eastAsia" w:ascii="仿宋_GB2312" w:hAnsi="仿宋_GB2312" w:eastAsia="仿宋_GB2312" w:cs="仿宋_GB2312"/>
          <w:kern w:val="0"/>
          <w:szCs w:val="28"/>
        </w:rPr>
        <w:t>工位号：____________</w:t>
      </w:r>
    </w:p>
    <w:p w14:paraId="21155A0C">
      <w:pPr>
        <w:pStyle w:val="14"/>
        <w:ind w:firstLine="562" w:firstLineChars="200"/>
        <w:rPr>
          <w:rFonts w:ascii="仿宋_GB2312" w:hAnsi="仿宋_GB2312" w:eastAsia="仿宋_GB2312" w:cs="仿宋_GB2312"/>
          <w:b/>
          <w:szCs w:val="28"/>
        </w:rPr>
      </w:pPr>
      <w:r>
        <w:rPr>
          <w:rFonts w:hint="eastAsia" w:ascii="仿宋_GB2312" w:hAnsi="仿宋_GB2312" w:eastAsia="仿宋_GB2312" w:cs="仿宋_GB2312"/>
          <w:b/>
          <w:szCs w:val="28"/>
        </w:rPr>
        <w:t>一、竞赛须知</w:t>
      </w:r>
    </w:p>
    <w:p w14:paraId="493E7CD3">
      <w:pPr>
        <w:pStyle w:val="14"/>
        <w:ind w:firstLine="560" w:firstLineChars="200"/>
        <w:rPr>
          <w:rFonts w:ascii="仿宋_GB2312" w:hAnsi="仿宋_GB2312" w:eastAsia="仿宋_GB2312" w:cs="仿宋_GB2312"/>
          <w:szCs w:val="28"/>
        </w:rPr>
      </w:pPr>
      <w:r>
        <w:rPr>
          <w:rFonts w:hint="eastAsia" w:ascii="仿宋_GB2312" w:hAnsi="仿宋_GB2312" w:eastAsia="仿宋_GB2312" w:cs="仿宋_GB2312"/>
          <w:szCs w:val="28"/>
        </w:rPr>
        <w:t>1、本竞赛环节为3人合作竞技项目，3人合作完成 “建筑装配式构件吊装”，分值为100分。该环节加权系数为0.</w:t>
      </w:r>
      <w:r>
        <w:rPr>
          <w:rFonts w:ascii="仿宋_GB2312" w:hAnsi="仿宋_GB2312" w:eastAsia="仿宋_GB2312" w:cs="仿宋_GB2312"/>
          <w:szCs w:val="28"/>
        </w:rPr>
        <w:t>3</w:t>
      </w:r>
      <w:r>
        <w:rPr>
          <w:rFonts w:hint="eastAsia" w:ascii="仿宋_GB2312" w:hAnsi="仿宋_GB2312" w:eastAsia="仿宋_GB2312" w:cs="仿宋_GB2312"/>
          <w:szCs w:val="28"/>
        </w:rPr>
        <w:t>.</w:t>
      </w:r>
    </w:p>
    <w:p w14:paraId="7C550FD2">
      <w:pPr>
        <w:pStyle w:val="14"/>
        <w:ind w:firstLine="560" w:firstLineChars="200"/>
        <w:rPr>
          <w:rFonts w:ascii="仿宋_GB2312" w:hAnsi="仿宋_GB2312" w:eastAsia="仿宋_GB2312" w:cs="仿宋_GB2312"/>
          <w:szCs w:val="28"/>
        </w:rPr>
      </w:pPr>
      <w:bookmarkStart w:id="2" w:name="_GoBack"/>
      <w:bookmarkEnd w:id="2"/>
      <w:r>
        <w:rPr>
          <w:rFonts w:hint="eastAsia" w:ascii="仿宋_GB2312" w:hAnsi="仿宋_GB2312" w:eastAsia="仿宋_GB2312" w:cs="仿宋_GB2312"/>
          <w:szCs w:val="28"/>
        </w:rPr>
        <w:t>2、本竞赛环节总时长为连续90分钟。</w:t>
      </w:r>
    </w:p>
    <w:p w14:paraId="664CE858">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3、竞赛过程中请参赛选手注意赛场纪律，严格按照操作规程施工。正确佩戴 </w:t>
      </w:r>
    </w:p>
    <w:p w14:paraId="2F7A57F4">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和使用劳保用品，安全文明施工。 </w:t>
      </w:r>
    </w:p>
    <w:p w14:paraId="038CF945">
      <w:pPr>
        <w:widowControl/>
        <w:ind w:firstLine="560" w:firstLineChars="200"/>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 xml:space="preserve">4、竞赛过程中遇到意外情况，应及时向当值裁判报告，听从裁判安排，不要 </w:t>
      </w:r>
    </w:p>
    <w:p w14:paraId="5243866F">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自行处理。</w:t>
      </w:r>
    </w:p>
    <w:p w14:paraId="03893D46">
      <w:pPr>
        <w:widowControl/>
        <w:numPr>
          <w:ilvl w:val="0"/>
          <w:numId w:val="2"/>
        </w:numPr>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w:t>
      </w:r>
    </w:p>
    <w:p w14:paraId="43005DF4">
      <w:pPr>
        <w:widowControl/>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760210" cy="3554730"/>
            <wp:effectExtent l="0" t="0" r="2540" b="762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图片 3"/>
                    <pic:cNvPicPr>
                      <a:picLocks noChangeAspect="1"/>
                    </pic:cNvPicPr>
                  </pic:nvPicPr>
                  <pic:blipFill>
                    <a:blip r:embed="rId5"/>
                    <a:srcRect l="17842" t="-335" r="13874" b="5532"/>
                    <a:stretch>
                      <a:fillRect/>
                    </a:stretch>
                  </pic:blipFill>
                  <pic:spPr>
                    <a:xfrm>
                      <a:off x="0" y="0"/>
                      <a:ext cx="6760210" cy="3554730"/>
                    </a:xfrm>
                    <a:prstGeom prst="rect">
                      <a:avLst/>
                    </a:prstGeom>
                    <a:noFill/>
                    <a:ln>
                      <a:noFill/>
                    </a:ln>
                  </pic:spPr>
                </pic:pic>
              </a:graphicData>
            </a:graphic>
          </wp:inline>
        </w:drawing>
      </w:r>
    </w:p>
    <w:p w14:paraId="002123F9">
      <w:pPr>
        <w:widowControl/>
        <w:ind w:firstLine="1476" w:firstLineChars="700"/>
        <w:jc w:val="left"/>
        <w:rPr>
          <w:rFonts w:ascii="仿宋_GB2312" w:hAnsi="仿宋_GB2312" w:eastAsia="仿宋_GB2312" w:cs="仿宋_GB2312"/>
          <w:b/>
          <w:bCs/>
          <w:u w:val="single"/>
        </w:rPr>
      </w:pPr>
    </w:p>
    <w:p w14:paraId="126DC221">
      <w:pPr>
        <w:widowControl/>
        <w:numPr>
          <w:ilvl w:val="0"/>
          <w:numId w:val="3"/>
        </w:numPr>
        <w:jc w:val="left"/>
        <w:rPr>
          <w:rFonts w:ascii="仿宋_GB2312" w:hAnsi="仿宋_GB2312" w:eastAsia="仿宋_GB2312" w:cs="仿宋_GB2312"/>
          <w:b/>
          <w:bCs/>
          <w:color w:val="000000"/>
          <w:kern w:val="0"/>
          <w:sz w:val="28"/>
          <w:szCs w:val="28"/>
          <w:lang w:bidi="ar"/>
        </w:rPr>
      </w:pPr>
      <w:r>
        <w:rPr>
          <w:rFonts w:hint="eastAsia" w:ascii="仿宋_GB2312" w:hAnsi="仿宋_GB2312" w:eastAsia="仿宋_GB2312" w:cs="仿宋_GB2312"/>
          <w:b/>
          <w:bCs/>
          <w:color w:val="000000"/>
          <w:kern w:val="0"/>
          <w:sz w:val="28"/>
          <w:szCs w:val="28"/>
          <w:lang w:bidi="ar"/>
        </w:rPr>
        <w:t>竞赛任务要求</w:t>
      </w:r>
    </w:p>
    <w:p w14:paraId="17BD2816">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工位示意图中</w:t>
      </w:r>
      <w:r>
        <w:rPr>
          <w:rFonts w:hint="eastAsia" w:ascii="仿宋_GB2312" w:hAnsi="仿宋_GB2312" w:eastAsia="仿宋_GB2312" w:cs="仿宋_GB2312"/>
          <w:b/>
          <w:bCs/>
          <w:color w:val="000000"/>
          <w:kern w:val="0"/>
          <w:sz w:val="28"/>
          <w:szCs w:val="28"/>
          <w:lang w:bidi="ar"/>
        </w:rPr>
        <w:t>墙板材料存放区</w:t>
      </w:r>
      <w:r>
        <w:rPr>
          <w:rFonts w:hint="eastAsia" w:ascii="仿宋_GB2312" w:hAnsi="仿宋_GB2312" w:eastAsia="仿宋_GB2312" w:cs="仿宋_GB2312"/>
          <w:color w:val="000000"/>
          <w:kern w:val="0"/>
          <w:sz w:val="28"/>
          <w:szCs w:val="28"/>
          <w:lang w:bidi="ar"/>
        </w:rPr>
        <w:t>存放多块预制板材，选手按图示要求选剪力墙板按《规范》吊装并安装如下图所示，并对角柱进行模板安装。</w:t>
      </w:r>
    </w:p>
    <w:p w14:paraId="4EB78966">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YNQ-05要求：砼强度C35;连接方式灌浆套筒连接；构件尺寸1000x1250x200（长x高x厚）。</w:t>
      </w:r>
    </w:p>
    <w:p w14:paraId="721EDCEF">
      <w:pPr>
        <w:widowControl/>
        <w:ind w:firstLine="560" w:firstLineChars="200"/>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YNQ-06要求：砼强度C35;连接方式灌浆套筒连接；构件尺寸1000x1250x200（长x高x厚）</w:t>
      </w:r>
    </w:p>
    <w:p w14:paraId="250EA8CC">
      <w:pPr>
        <w:widowControl/>
        <w:ind w:firstLine="420" w:firstLineChars="200"/>
        <w:jc w:val="left"/>
        <w:rPr>
          <w:rFonts w:ascii="仿宋_GB2312" w:hAnsi="仿宋_GB2312" w:eastAsia="仿宋_GB2312" w:cs="仿宋_GB2312"/>
        </w:rPr>
      </w:pPr>
      <w:r>
        <w:rPr>
          <w:rFonts w:hint="eastAsia" w:ascii="仿宋_GB2312" w:hAnsi="仿宋_GB2312" w:eastAsia="仿宋_GB2312" w:cs="仿宋_GB2312"/>
        </w:rPr>
        <w:drawing>
          <wp:inline distT="0" distB="0" distL="114300" distR="114300">
            <wp:extent cx="6374765" cy="2628265"/>
            <wp:effectExtent l="0" t="0" r="6985" b="635"/>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6"/>
                    <a:stretch>
                      <a:fillRect/>
                    </a:stretch>
                  </pic:blipFill>
                  <pic:spPr>
                    <a:xfrm>
                      <a:off x="0" y="0"/>
                      <a:ext cx="6374765" cy="2628265"/>
                    </a:xfrm>
                    <a:prstGeom prst="rect">
                      <a:avLst/>
                    </a:prstGeom>
                    <a:noFill/>
                    <a:ln>
                      <a:noFill/>
                    </a:ln>
                  </pic:spPr>
                </pic:pic>
              </a:graphicData>
            </a:graphic>
          </wp:inline>
        </w:drawing>
      </w:r>
    </w:p>
    <w:p w14:paraId="3E6E6A35">
      <w:pPr>
        <w:widowControl/>
        <w:jc w:val="left"/>
        <w:rPr>
          <w:rFonts w:ascii="仿宋_GB2312" w:hAnsi="仿宋_GB2312" w:eastAsia="仿宋_GB2312" w:cs="仿宋_GB2312"/>
        </w:rPr>
      </w:pPr>
      <w:r>
        <w:rPr>
          <w:rFonts w:hint="eastAsia" w:ascii="仿宋_GB2312" w:hAnsi="仿宋_GB2312" w:eastAsia="仿宋_GB2312" w:cs="仿宋_GB2312"/>
          <w:b/>
          <w:bCs/>
          <w:color w:val="000000"/>
          <w:kern w:val="0"/>
          <w:sz w:val="28"/>
          <w:szCs w:val="28"/>
          <w:lang w:bidi="ar"/>
        </w:rPr>
        <w:t xml:space="preserve">三、竞赛注意事项 </w:t>
      </w:r>
    </w:p>
    <w:p w14:paraId="2CED53C3">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1、 吊装施工前，应对已完成结构的强度、外观质量、尺寸进行检查；并应对预制构件的砼强度及预制构件和配件的型号、规格、数量等进行检查；</w:t>
      </w:r>
    </w:p>
    <w:p w14:paraId="27B337E2">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2、吊装施工前，应清洁接合面，并进行测量放线，设置构件安装定位标识；</w:t>
      </w:r>
    </w:p>
    <w:p w14:paraId="21739CFD">
      <w:pPr>
        <w:widowControl/>
        <w:jc w:val="left"/>
        <w:rPr>
          <w:rFonts w:ascii="仿宋_GB2312" w:hAnsi="仿宋_GB2312" w:eastAsia="仿宋_GB2312" w:cs="仿宋_GB2312"/>
        </w:rPr>
      </w:pPr>
      <w:r>
        <w:rPr>
          <w:rFonts w:hint="eastAsia" w:ascii="仿宋_GB2312" w:hAnsi="仿宋_GB2312" w:eastAsia="仿宋_GB2312" w:cs="仿宋_GB2312"/>
          <w:color w:val="000000"/>
          <w:kern w:val="0"/>
          <w:sz w:val="28"/>
          <w:szCs w:val="28"/>
          <w:lang w:bidi="ar"/>
        </w:rPr>
        <w:t>3、吊装施工前，应复核构件装配位置、节点连接构造及临时支撑方案等；</w:t>
      </w:r>
    </w:p>
    <w:p w14:paraId="6B5A5F1D">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4、吊装施工前，应检查复核吊装设备及吊具处于安全操作状态；</w:t>
      </w:r>
    </w:p>
    <w:p w14:paraId="04FFC723">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5、预制构件安装前，构件底部应设置可调整接缝厚度和底部标高的垫块；</w:t>
      </w:r>
    </w:p>
    <w:p w14:paraId="638736E5">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6、吊装就位后，应及时校准并采取临时固定措施；</w:t>
      </w:r>
    </w:p>
    <w:p w14:paraId="5551DD56">
      <w:pPr>
        <w:widowControl/>
        <w:jc w:val="left"/>
        <w:rPr>
          <w:rFonts w:ascii="仿宋_GB2312" w:hAnsi="仿宋_GB2312" w:eastAsia="仿宋_GB2312" w:cs="仿宋_GB2312"/>
          <w:color w:val="000000"/>
          <w:kern w:val="0"/>
          <w:sz w:val="28"/>
          <w:szCs w:val="28"/>
          <w:lang w:bidi="ar"/>
        </w:rPr>
      </w:pPr>
      <w:r>
        <w:rPr>
          <w:rFonts w:hint="eastAsia" w:ascii="仿宋_GB2312" w:hAnsi="仿宋_GB2312" w:eastAsia="仿宋_GB2312" w:cs="仿宋_GB2312"/>
          <w:color w:val="000000"/>
          <w:kern w:val="0"/>
          <w:sz w:val="28"/>
          <w:szCs w:val="28"/>
          <w:lang w:bidi="ar"/>
        </w:rPr>
        <w:t>7、选手确认提前完成、申请离场，在完成全部任务要求的前提下现场裁判确认提前完成时间量。未全部完成任务而提前离场的不计算时间提前量。</w:t>
      </w:r>
    </w:p>
    <w:p w14:paraId="40A50688">
      <w:pPr>
        <w:widowControl/>
        <w:jc w:val="left"/>
        <w:rPr>
          <w:rFonts w:ascii="仿宋_GB2312" w:hAnsi="仿宋_GB2312" w:eastAsia="仿宋_GB2312" w:cs="仿宋_GB2312"/>
          <w:color w:val="000000"/>
          <w:kern w:val="0"/>
          <w:sz w:val="28"/>
          <w:szCs w:val="28"/>
          <w:lang w:bidi="ar"/>
        </w:rPr>
      </w:pPr>
    </w:p>
    <w:p w14:paraId="15F86487">
      <w:pPr>
        <w:pStyle w:val="14"/>
        <w:jc w:val="center"/>
        <w:rPr>
          <w:rFonts w:ascii="仿宋_GB2312" w:hAnsi="仿宋_GB2312" w:eastAsia="仿宋_GB2312" w:cs="仿宋_GB2312"/>
          <w:b/>
          <w:sz w:val="30"/>
          <w:szCs w:val="30"/>
        </w:rPr>
      </w:pPr>
    </w:p>
    <w:p w14:paraId="75354FB4">
      <w:pPr>
        <w:pStyle w:val="14"/>
        <w:jc w:val="center"/>
        <w:rPr>
          <w:rFonts w:ascii="仿宋_GB2312" w:hAnsi="仿宋_GB2312" w:eastAsia="仿宋_GB2312" w:cs="仿宋_GB2312"/>
          <w:b/>
          <w:sz w:val="30"/>
          <w:szCs w:val="30"/>
        </w:rPr>
      </w:pPr>
    </w:p>
    <w:p w14:paraId="193FA33B">
      <w:pPr>
        <w:pStyle w:val="14"/>
        <w:jc w:val="center"/>
        <w:rPr>
          <w:rFonts w:ascii="仿宋_GB2312" w:hAnsi="仿宋_GB2312" w:eastAsia="仿宋_GB2312" w:cs="仿宋_GB2312"/>
          <w:b/>
          <w:sz w:val="30"/>
          <w:szCs w:val="30"/>
        </w:rPr>
      </w:pPr>
    </w:p>
    <w:p w14:paraId="3965C535">
      <w:pPr>
        <w:pStyle w:val="14"/>
        <w:jc w:val="center"/>
        <w:rPr>
          <w:rFonts w:ascii="仿宋_GB2312" w:hAnsi="仿宋_GB2312" w:eastAsia="仿宋_GB2312" w:cs="仿宋_GB2312"/>
          <w:b/>
          <w:sz w:val="30"/>
          <w:szCs w:val="30"/>
        </w:rPr>
      </w:pPr>
    </w:p>
    <w:p w14:paraId="104B53A1">
      <w:pPr>
        <w:pStyle w:val="14"/>
        <w:jc w:val="center"/>
        <w:rPr>
          <w:rFonts w:ascii="仿宋_GB2312" w:hAnsi="仿宋_GB2312" w:eastAsia="仿宋_GB2312" w:cs="仿宋_GB2312"/>
          <w:b/>
          <w:sz w:val="30"/>
          <w:szCs w:val="30"/>
        </w:rPr>
      </w:pPr>
    </w:p>
    <w:p w14:paraId="34D40501">
      <w:pPr>
        <w:pStyle w:val="14"/>
        <w:jc w:val="center"/>
        <w:rPr>
          <w:rFonts w:ascii="仿宋_GB2312" w:hAnsi="仿宋_GB2312" w:eastAsia="仿宋_GB2312" w:cs="仿宋_GB2312"/>
          <w:b/>
          <w:sz w:val="30"/>
          <w:szCs w:val="30"/>
        </w:rPr>
      </w:pPr>
    </w:p>
    <w:p w14:paraId="44D0D613">
      <w:pPr>
        <w:pStyle w:val="14"/>
        <w:jc w:val="center"/>
        <w:rPr>
          <w:rFonts w:ascii="仿宋_GB2312" w:hAnsi="仿宋_GB2312" w:eastAsia="仿宋_GB2312" w:cs="仿宋_GB2312"/>
          <w:b/>
          <w:sz w:val="30"/>
          <w:szCs w:val="30"/>
        </w:rPr>
      </w:pPr>
    </w:p>
    <w:p w14:paraId="1AB16129">
      <w:pPr>
        <w:pStyle w:val="14"/>
        <w:jc w:val="center"/>
        <w:rPr>
          <w:rFonts w:ascii="仿宋_GB2312" w:hAnsi="仿宋_GB2312" w:eastAsia="仿宋_GB2312" w:cs="仿宋_GB2312"/>
          <w:b/>
          <w:sz w:val="30"/>
          <w:szCs w:val="30"/>
        </w:rPr>
      </w:pPr>
    </w:p>
    <w:p w14:paraId="21E91599">
      <w:pPr>
        <w:pStyle w:val="14"/>
        <w:jc w:val="center"/>
        <w:rPr>
          <w:rFonts w:ascii="仿宋_GB2312" w:hAnsi="仿宋_GB2312" w:eastAsia="仿宋_GB2312" w:cs="仿宋_GB2312"/>
          <w:b/>
          <w:sz w:val="30"/>
          <w:szCs w:val="30"/>
        </w:rPr>
      </w:pPr>
    </w:p>
    <w:p w14:paraId="05EE4ECD">
      <w:pPr>
        <w:pStyle w:val="14"/>
        <w:jc w:val="center"/>
        <w:rPr>
          <w:rFonts w:ascii="仿宋_GB2312" w:hAnsi="仿宋_GB2312" w:eastAsia="仿宋_GB2312" w:cs="仿宋_GB2312"/>
          <w:b/>
          <w:sz w:val="30"/>
          <w:szCs w:val="30"/>
        </w:rPr>
      </w:pPr>
    </w:p>
    <w:p w14:paraId="2251B523">
      <w:pPr>
        <w:pStyle w:val="14"/>
        <w:jc w:val="center"/>
        <w:rPr>
          <w:rFonts w:ascii="仿宋_GB2312" w:hAnsi="仿宋_GB2312" w:eastAsia="仿宋_GB2312" w:cs="仿宋_GB2312"/>
          <w:b/>
          <w:sz w:val="30"/>
          <w:szCs w:val="30"/>
        </w:rPr>
      </w:pPr>
    </w:p>
    <w:p w14:paraId="339ECF11">
      <w:pPr>
        <w:pStyle w:val="14"/>
        <w:jc w:val="center"/>
        <w:rPr>
          <w:rFonts w:ascii="仿宋_GB2312" w:hAnsi="仿宋_GB2312" w:eastAsia="仿宋_GB2312" w:cs="仿宋_GB2312"/>
          <w:b/>
          <w:sz w:val="30"/>
          <w:szCs w:val="30"/>
        </w:rPr>
      </w:pPr>
    </w:p>
    <w:p w14:paraId="6E7A805C">
      <w:pPr>
        <w:pStyle w:val="14"/>
        <w:jc w:val="center"/>
        <w:rPr>
          <w:rFonts w:ascii="仿宋_GB2312" w:hAnsi="仿宋_GB2312" w:eastAsia="仿宋_GB2312" w:cs="仿宋_GB2312"/>
          <w:b/>
          <w:sz w:val="30"/>
          <w:szCs w:val="30"/>
        </w:rPr>
      </w:pPr>
    </w:p>
    <w:p w14:paraId="6C9B4AAC">
      <w:pPr>
        <w:pStyle w:val="14"/>
        <w:jc w:val="center"/>
        <w:rPr>
          <w:rFonts w:ascii="仿宋_GB2312" w:hAnsi="仿宋_GB2312" w:eastAsia="仿宋_GB2312" w:cs="仿宋_GB2312"/>
          <w:b/>
          <w:sz w:val="30"/>
          <w:szCs w:val="30"/>
        </w:rPr>
      </w:pPr>
    </w:p>
    <w:p w14:paraId="1C8C8F10">
      <w:pPr>
        <w:pStyle w:val="14"/>
        <w:jc w:val="center"/>
        <w:rPr>
          <w:rFonts w:ascii="仿宋_GB2312" w:hAnsi="仿宋_GB2312" w:eastAsia="仿宋_GB2312" w:cs="仿宋_GB2312"/>
          <w:b/>
          <w:sz w:val="30"/>
          <w:szCs w:val="30"/>
        </w:rPr>
      </w:pPr>
    </w:p>
    <w:p w14:paraId="575925EA">
      <w:pPr>
        <w:pStyle w:val="14"/>
        <w:jc w:val="center"/>
        <w:rPr>
          <w:rFonts w:ascii="仿宋_GB2312" w:hAnsi="仿宋_GB2312" w:eastAsia="仿宋_GB2312" w:cs="仿宋_GB2312"/>
          <w:b/>
          <w:sz w:val="30"/>
          <w:szCs w:val="30"/>
        </w:rPr>
      </w:pPr>
    </w:p>
    <w:p w14:paraId="12105854">
      <w:pPr>
        <w:pStyle w:val="14"/>
        <w:jc w:val="center"/>
        <w:rPr>
          <w:rFonts w:ascii="仿宋_GB2312" w:hAnsi="仿宋_GB2312" w:eastAsia="仿宋_GB2312" w:cs="仿宋_GB2312"/>
          <w:b/>
          <w:sz w:val="30"/>
          <w:szCs w:val="30"/>
        </w:rPr>
      </w:pPr>
    </w:p>
    <w:p w14:paraId="18194B96">
      <w:pPr>
        <w:pStyle w:val="14"/>
        <w:jc w:val="center"/>
        <w:rPr>
          <w:rFonts w:ascii="仿宋_GB2312" w:hAnsi="仿宋_GB2312" w:eastAsia="仿宋_GB2312" w:cs="仿宋_GB2312"/>
          <w:b/>
          <w:sz w:val="30"/>
          <w:szCs w:val="30"/>
        </w:rPr>
      </w:pPr>
    </w:p>
    <w:p w14:paraId="1D756E65">
      <w:pPr>
        <w:pStyle w:val="14"/>
        <w:jc w:val="center"/>
        <w:rPr>
          <w:rFonts w:ascii="仿宋_GB2312" w:hAnsi="仿宋_GB2312" w:eastAsia="仿宋_GB2312" w:cs="仿宋_GB2312"/>
          <w:b/>
          <w:sz w:val="30"/>
          <w:szCs w:val="30"/>
        </w:rPr>
      </w:pPr>
    </w:p>
    <w:p w14:paraId="3D18D54F">
      <w:pPr>
        <w:pStyle w:val="14"/>
        <w:jc w:val="center"/>
        <w:rPr>
          <w:rFonts w:ascii="仿宋_GB2312" w:hAnsi="仿宋_GB2312" w:eastAsia="仿宋_GB2312" w:cs="仿宋_GB2312"/>
          <w:b/>
          <w:sz w:val="30"/>
          <w:szCs w:val="30"/>
        </w:rPr>
      </w:pPr>
    </w:p>
    <w:p w14:paraId="7CBC0F83">
      <w:pPr>
        <w:pStyle w:val="14"/>
        <w:jc w:val="center"/>
        <w:rPr>
          <w:rFonts w:ascii="仿宋_GB2312" w:hAnsi="仿宋_GB2312" w:eastAsia="仿宋_GB2312" w:cs="仿宋_GB2312"/>
          <w:b/>
          <w:sz w:val="30"/>
          <w:szCs w:val="30"/>
        </w:rPr>
      </w:pPr>
    </w:p>
    <w:p w14:paraId="55AC104C">
      <w:pPr>
        <w:pStyle w:val="14"/>
        <w:jc w:val="center"/>
        <w:rPr>
          <w:rFonts w:ascii="仿宋_GB2312" w:hAnsi="仿宋_GB2312" w:eastAsia="仿宋_GB2312" w:cs="仿宋_GB2312"/>
          <w:b/>
          <w:sz w:val="30"/>
          <w:szCs w:val="30"/>
        </w:rPr>
      </w:pPr>
    </w:p>
    <w:p w14:paraId="44FA0941">
      <w:pPr>
        <w:pStyle w:val="14"/>
        <w:jc w:val="center"/>
        <w:rPr>
          <w:rFonts w:ascii="仿宋_GB2312" w:hAnsi="仿宋_GB2312" w:eastAsia="仿宋_GB2312" w:cs="仿宋_GB2312"/>
          <w:b/>
          <w:sz w:val="30"/>
          <w:szCs w:val="30"/>
        </w:rPr>
      </w:pPr>
    </w:p>
    <w:p w14:paraId="4741CDB1">
      <w:pPr>
        <w:pStyle w:val="14"/>
        <w:jc w:val="center"/>
        <w:rPr>
          <w:rFonts w:ascii="仿宋_GB2312" w:hAnsi="仿宋_GB2312" w:eastAsia="仿宋_GB2312" w:cs="仿宋_GB2312"/>
          <w:b/>
          <w:sz w:val="30"/>
          <w:szCs w:val="30"/>
        </w:rPr>
      </w:pPr>
    </w:p>
    <w:p w14:paraId="427CD94A">
      <w:pPr>
        <w:pStyle w:val="14"/>
        <w:jc w:val="center"/>
        <w:rPr>
          <w:rFonts w:ascii="仿宋_GB2312" w:hAnsi="仿宋_GB2312" w:eastAsia="仿宋_GB2312" w:cs="仿宋_GB2312"/>
          <w:b/>
          <w:sz w:val="30"/>
          <w:szCs w:val="30"/>
        </w:rPr>
      </w:pPr>
    </w:p>
    <w:p w14:paraId="4AA8CB7E">
      <w:pPr>
        <w:pStyle w:val="14"/>
        <w:jc w:val="center"/>
        <w:rPr>
          <w:rFonts w:ascii="仿宋_GB2312" w:hAnsi="仿宋_GB2312" w:eastAsia="仿宋_GB2312" w:cs="仿宋_GB2312"/>
          <w:b/>
          <w:sz w:val="30"/>
          <w:szCs w:val="30"/>
        </w:rPr>
      </w:pPr>
    </w:p>
    <w:p w14:paraId="489371EC">
      <w:pPr>
        <w:pStyle w:val="14"/>
        <w:jc w:val="center"/>
        <w:rPr>
          <w:rFonts w:ascii="仿宋_GB2312" w:hAnsi="仿宋_GB2312" w:eastAsia="仿宋_GB2312" w:cs="仿宋_GB2312"/>
          <w:b/>
          <w:sz w:val="30"/>
          <w:szCs w:val="30"/>
        </w:rPr>
      </w:pPr>
    </w:p>
    <w:p w14:paraId="5B8639B5">
      <w:pPr>
        <w:pStyle w:val="14"/>
        <w:jc w:val="center"/>
        <w:rPr>
          <w:rFonts w:ascii="仿宋_GB2312" w:hAnsi="仿宋_GB2312" w:eastAsia="仿宋_GB2312" w:cs="仿宋_GB2312"/>
          <w:b/>
          <w:sz w:val="30"/>
          <w:szCs w:val="30"/>
        </w:rPr>
      </w:pPr>
    </w:p>
    <w:p w14:paraId="4760BFD4">
      <w:pPr>
        <w:pStyle w:val="14"/>
        <w:jc w:val="center"/>
        <w:rPr>
          <w:rFonts w:ascii="仿宋_GB2312" w:hAnsi="仿宋_GB2312" w:eastAsia="仿宋_GB2312" w:cs="仿宋_GB2312"/>
          <w:b/>
          <w:sz w:val="30"/>
          <w:szCs w:val="30"/>
        </w:rPr>
      </w:pPr>
    </w:p>
    <w:p w14:paraId="65ABF125">
      <w:pPr>
        <w:pStyle w:val="14"/>
        <w:jc w:val="center"/>
        <w:rPr>
          <w:rFonts w:ascii="仿宋_GB2312" w:hAnsi="仿宋_GB2312" w:eastAsia="仿宋_GB2312" w:cs="仿宋_GB2312"/>
          <w:b/>
          <w:sz w:val="30"/>
          <w:szCs w:val="30"/>
        </w:rPr>
      </w:pPr>
    </w:p>
    <w:p w14:paraId="104EFD13">
      <w:pPr>
        <w:pStyle w:val="14"/>
        <w:jc w:val="center"/>
        <w:rPr>
          <w:rFonts w:ascii="仿宋_GB2312" w:hAnsi="仿宋_GB2312" w:eastAsia="仿宋_GB2312" w:cs="仿宋_GB2312"/>
          <w:b/>
          <w:sz w:val="30"/>
          <w:szCs w:val="30"/>
        </w:rPr>
      </w:pPr>
    </w:p>
    <w:p w14:paraId="414F7335">
      <w:pPr>
        <w:pStyle w:val="14"/>
        <w:jc w:val="center"/>
        <w:rPr>
          <w:rFonts w:ascii="仿宋_GB2312" w:hAnsi="仿宋_GB2312" w:eastAsia="仿宋_GB2312" w:cs="仿宋_GB2312"/>
          <w:b/>
          <w:sz w:val="30"/>
          <w:szCs w:val="30"/>
        </w:rPr>
      </w:pPr>
    </w:p>
    <w:p w14:paraId="20037FAA">
      <w:pPr>
        <w:pStyle w:val="14"/>
        <w:jc w:val="center"/>
        <w:rPr>
          <w:rFonts w:ascii="仿宋_GB2312" w:hAnsi="仿宋_GB2312" w:eastAsia="仿宋_GB2312" w:cs="仿宋_GB2312"/>
          <w:b/>
          <w:sz w:val="30"/>
          <w:szCs w:val="30"/>
        </w:rPr>
      </w:pPr>
    </w:p>
    <w:p w14:paraId="41455434">
      <w:pPr>
        <w:pStyle w:val="14"/>
        <w:jc w:val="center"/>
        <w:rPr>
          <w:rFonts w:ascii="仿宋_GB2312" w:hAnsi="仿宋_GB2312" w:eastAsia="仿宋_GB2312" w:cs="仿宋_GB2312"/>
          <w:b/>
          <w:sz w:val="30"/>
          <w:szCs w:val="30"/>
        </w:rPr>
      </w:pPr>
    </w:p>
    <w:p w14:paraId="1BBC389E">
      <w:pPr>
        <w:pStyle w:val="14"/>
        <w:jc w:val="center"/>
        <w:rPr>
          <w:rFonts w:ascii="仿宋_GB2312" w:hAnsi="仿宋_GB2312" w:eastAsia="仿宋_GB2312" w:cs="仿宋_GB2312"/>
          <w:b/>
          <w:sz w:val="30"/>
          <w:szCs w:val="30"/>
        </w:rPr>
      </w:pPr>
    </w:p>
    <w:p w14:paraId="1ED4C431">
      <w:pPr>
        <w:pStyle w:val="14"/>
        <w:jc w:val="center"/>
        <w:rPr>
          <w:rFonts w:ascii="仿宋_GB2312" w:hAnsi="仿宋_GB2312" w:eastAsia="仿宋_GB2312" w:cs="仿宋_GB2312"/>
          <w:b/>
          <w:sz w:val="30"/>
          <w:szCs w:val="30"/>
        </w:rPr>
      </w:pPr>
    </w:p>
    <w:p w14:paraId="799E4CDE">
      <w:pPr>
        <w:pStyle w:val="14"/>
        <w:jc w:val="center"/>
        <w:rPr>
          <w:rFonts w:ascii="仿宋_GB2312" w:hAnsi="仿宋_GB2312" w:eastAsia="仿宋_GB2312" w:cs="仿宋_GB2312"/>
          <w:b/>
          <w:sz w:val="30"/>
          <w:szCs w:val="30"/>
        </w:rPr>
      </w:pPr>
    </w:p>
    <w:sectPr>
      <w:pgSz w:w="23820" w:h="16840" w:orient="landscape"/>
      <w:pgMar w:top="1797" w:right="1440" w:bottom="1797" w:left="1440" w:header="851" w:footer="992" w:gutter="0"/>
      <w:cols w:space="840" w:num="2" w:sep="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Arial">
    <w:panose1 w:val="020B0604020202020204"/>
    <w:charset w:val="00"/>
    <w:family w:val="swiss"/>
    <w:pitch w:val="default"/>
    <w:sig w:usb0="E0002EFF" w:usb1="C000785B" w:usb2="00000009" w:usb3="00000000" w:csb0="400001FF" w:csb1="FFFF0000"/>
  </w:font>
  <w:font w:name="仿宋">
    <w:panose1 w:val="02010609060101010101"/>
    <w:charset w:val="86"/>
    <w:family w:val="modern"/>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IDÑ˛">
    <w:altName w:val="Cambria"/>
    <w:panose1 w:val="00000000000000000000"/>
    <w:charset w:val="00"/>
    <w:family w:val="roman"/>
    <w:pitch w:val="default"/>
    <w:sig w:usb0="00000000" w:usb1="00000000" w:usb2="00000000" w:usb3="00000000" w:csb0="00000000" w:csb1="00000000"/>
  </w:font>
  <w:font w:name="Cambria">
    <w:panose1 w:val="02040503050406030204"/>
    <w:charset w:val="00"/>
    <w:family w:val="auto"/>
    <w:pitch w:val="default"/>
    <w:sig w:usb0="E00006FF" w:usb1="420024FF" w:usb2="02000000" w:usb3="00000000" w:csb0="2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D74DAC7"/>
    <w:multiLevelType w:val="multilevel"/>
    <w:tmpl w:val="9D74DAC7"/>
    <w:lvl w:ilvl="0" w:tentative="0">
      <w:start w:val="1"/>
      <w:numFmt w:val="chineseCountingThousand"/>
      <w:lvlText w:val="%1、"/>
      <w:lvlJc w:val="left"/>
      <w:pPr>
        <w:ind w:left="432" w:hanging="432"/>
      </w:pPr>
      <w:rPr>
        <w:rFonts w:hint="eastAsia"/>
        <w:b w:val="0"/>
        <w:bCs w:val="0"/>
        <w:i w:val="0"/>
        <w:iCs w:val="0"/>
        <w:caps w:val="0"/>
        <w:smallCaps w:val="0"/>
        <w:strike w:val="0"/>
        <w:dstrike w:val="0"/>
        <w:vanish w:val="0"/>
        <w:spacing w:val="0"/>
        <w:position w:val="0"/>
        <w:u w:val="none"/>
        <w:vertAlign w:val="baseline"/>
      </w:rPr>
    </w:lvl>
    <w:lvl w:ilvl="1" w:tentative="0">
      <w:start w:val="1"/>
      <w:numFmt w:val="decimal"/>
      <w:lvlText w:val="%1.%2"/>
      <w:lvlJc w:val="left"/>
      <w:pPr>
        <w:ind w:left="576" w:hanging="576"/>
      </w:pPr>
      <w:rPr>
        <w:rFonts w:hint="eastAsia"/>
        <w:b w:val="0"/>
        <w:bCs w:val="0"/>
        <w:i w:val="0"/>
        <w:iCs w:val="0"/>
        <w:caps w:val="0"/>
        <w:smallCaps w:val="0"/>
        <w:strike w:val="0"/>
        <w:dstrike w:val="0"/>
        <w:vanish w:val="0"/>
        <w:spacing w:val="0"/>
        <w:position w:val="0"/>
        <w:u w:val="none"/>
        <w:vertAlign w:val="baseline"/>
      </w:rPr>
    </w:lvl>
    <w:lvl w:ilvl="2" w:tentative="0">
      <w:start w:val="1"/>
      <w:numFmt w:val="decimal"/>
      <w:lvlText w:val="%1.%2.%3"/>
      <w:lvlJc w:val="left"/>
      <w:pPr>
        <w:ind w:left="720" w:hanging="720"/>
      </w:pPr>
      <w:rPr>
        <w:rFonts w:hint="eastAsia"/>
      </w:rPr>
    </w:lvl>
    <w:lvl w:ilvl="3" w:tentative="0">
      <w:start w:val="1"/>
      <w:numFmt w:val="decimal"/>
      <w:pStyle w:val="2"/>
      <w:lvlText w:val="%1.%2.%3.%4"/>
      <w:lvlJc w:val="left"/>
      <w:pPr>
        <w:ind w:left="864" w:hanging="864"/>
      </w:pPr>
      <w:rPr>
        <w:rFonts w:hint="eastAsia"/>
      </w:rPr>
    </w:lvl>
    <w:lvl w:ilvl="4" w:tentative="0">
      <w:start w:val="1"/>
      <w:numFmt w:val="decimal"/>
      <w:lvlText w:val="%1.%2.%3.%4.%5"/>
      <w:lvlJc w:val="left"/>
      <w:pPr>
        <w:ind w:left="1008" w:hanging="1008"/>
      </w:pPr>
      <w:rPr>
        <w:rFonts w:hint="eastAsia"/>
      </w:rPr>
    </w:lvl>
    <w:lvl w:ilvl="5" w:tentative="0">
      <w:start w:val="1"/>
      <w:numFmt w:val="decimal"/>
      <w:lvlText w:val="%1.%2.%3.%4.%5.%6"/>
      <w:lvlJc w:val="left"/>
      <w:pPr>
        <w:ind w:left="1152" w:hanging="1152"/>
      </w:pPr>
      <w:rPr>
        <w:rFonts w:hint="eastAsia"/>
      </w:rPr>
    </w:lvl>
    <w:lvl w:ilvl="6" w:tentative="0">
      <w:start w:val="1"/>
      <w:numFmt w:val="decimal"/>
      <w:lvlText w:val="%1.%2.%3.%4.%5.%6.%7"/>
      <w:lvlJc w:val="left"/>
      <w:pPr>
        <w:ind w:left="1296" w:hanging="1296"/>
      </w:pPr>
      <w:rPr>
        <w:rFonts w:hint="eastAsia"/>
      </w:rPr>
    </w:lvl>
    <w:lvl w:ilvl="7" w:tentative="0">
      <w:start w:val="1"/>
      <w:numFmt w:val="decimal"/>
      <w:lvlText w:val="%1.%2.%3.%4.%5.%6.%7.%8"/>
      <w:lvlJc w:val="left"/>
      <w:pPr>
        <w:ind w:left="1440" w:hanging="1440"/>
      </w:pPr>
      <w:rPr>
        <w:rFonts w:hint="eastAsia"/>
      </w:rPr>
    </w:lvl>
    <w:lvl w:ilvl="8" w:tentative="0">
      <w:start w:val="1"/>
      <w:numFmt w:val="decimal"/>
      <w:lvlText w:val="%1.%2.%3.%4.%5.%6.%7.%8.%9"/>
      <w:lvlJc w:val="left"/>
      <w:pPr>
        <w:ind w:left="1584" w:hanging="1584"/>
      </w:pPr>
      <w:rPr>
        <w:rFonts w:hint="eastAsia"/>
      </w:rPr>
    </w:lvl>
  </w:abstractNum>
  <w:abstractNum w:abstractNumId="1">
    <w:nsid w:val="FA7AE91D"/>
    <w:multiLevelType w:val="singleLevel"/>
    <w:tmpl w:val="FA7AE91D"/>
    <w:lvl w:ilvl="0" w:tentative="0">
      <w:start w:val="5"/>
      <w:numFmt w:val="decimal"/>
      <w:suff w:val="nothing"/>
      <w:lvlText w:val="%1、"/>
      <w:lvlJc w:val="left"/>
    </w:lvl>
  </w:abstractNum>
  <w:abstractNum w:abstractNumId="2">
    <w:nsid w:val="0D0DA3ED"/>
    <w:multiLevelType w:val="singleLevel"/>
    <w:tmpl w:val="0D0DA3ED"/>
    <w:lvl w:ilvl="0" w:tentative="0">
      <w:start w:val="2"/>
      <w:numFmt w:val="chineseCounting"/>
      <w:suff w:val="nothing"/>
      <w:lvlText w:val="%1、"/>
      <w:lvlJc w:val="left"/>
      <w:rPr>
        <w:rFonts w:hint="eastAsi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documentProtection w:enforcement="0"/>
  <w:defaultTabStop w:val="420"/>
  <w:drawingGridHorizontalSpacing w:val="105"/>
  <w:drawingGridVerticalSpacing w:val="156"/>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jI0MmRkYWZkNGUxZmE4N2NlNTY1N2QxMzkyYjdmZDEifQ=="/>
  </w:docVars>
  <w:rsids>
    <w:rsidRoot w:val="002C569C"/>
    <w:rsid w:val="0003052F"/>
    <w:rsid w:val="000429C9"/>
    <w:rsid w:val="00053EBA"/>
    <w:rsid w:val="00073E80"/>
    <w:rsid w:val="000A01AE"/>
    <w:rsid w:val="000A1604"/>
    <w:rsid w:val="000A2810"/>
    <w:rsid w:val="000B10E9"/>
    <w:rsid w:val="000B4539"/>
    <w:rsid w:val="000C5B99"/>
    <w:rsid w:val="000E268E"/>
    <w:rsid w:val="000E3DC8"/>
    <w:rsid w:val="001215B1"/>
    <w:rsid w:val="00123FBD"/>
    <w:rsid w:val="00124F10"/>
    <w:rsid w:val="001339CC"/>
    <w:rsid w:val="00182378"/>
    <w:rsid w:val="001A2C09"/>
    <w:rsid w:val="001B7EA5"/>
    <w:rsid w:val="001C2796"/>
    <w:rsid w:val="001C6609"/>
    <w:rsid w:val="001C78CF"/>
    <w:rsid w:val="001D6DF2"/>
    <w:rsid w:val="001E7E31"/>
    <w:rsid w:val="00213E05"/>
    <w:rsid w:val="00214E35"/>
    <w:rsid w:val="0022313F"/>
    <w:rsid w:val="00232EAD"/>
    <w:rsid w:val="00266DD1"/>
    <w:rsid w:val="0027015D"/>
    <w:rsid w:val="00276B6E"/>
    <w:rsid w:val="00283C2D"/>
    <w:rsid w:val="00290D3B"/>
    <w:rsid w:val="002A584E"/>
    <w:rsid w:val="002A6F84"/>
    <w:rsid w:val="002B3D2A"/>
    <w:rsid w:val="002C565E"/>
    <w:rsid w:val="002C569C"/>
    <w:rsid w:val="002F7902"/>
    <w:rsid w:val="00301110"/>
    <w:rsid w:val="003234CF"/>
    <w:rsid w:val="003239C3"/>
    <w:rsid w:val="00331724"/>
    <w:rsid w:val="0034113A"/>
    <w:rsid w:val="0034506E"/>
    <w:rsid w:val="00355996"/>
    <w:rsid w:val="003611AA"/>
    <w:rsid w:val="003658D5"/>
    <w:rsid w:val="00372425"/>
    <w:rsid w:val="00374004"/>
    <w:rsid w:val="00380DAF"/>
    <w:rsid w:val="003B17AC"/>
    <w:rsid w:val="003C2162"/>
    <w:rsid w:val="003E442D"/>
    <w:rsid w:val="0040657F"/>
    <w:rsid w:val="004066D0"/>
    <w:rsid w:val="00407A15"/>
    <w:rsid w:val="004137AB"/>
    <w:rsid w:val="004303C7"/>
    <w:rsid w:val="004601E4"/>
    <w:rsid w:val="0046467D"/>
    <w:rsid w:val="0047584D"/>
    <w:rsid w:val="004829A9"/>
    <w:rsid w:val="00483018"/>
    <w:rsid w:val="00485CBC"/>
    <w:rsid w:val="0049209F"/>
    <w:rsid w:val="004B4882"/>
    <w:rsid w:val="004C11F5"/>
    <w:rsid w:val="004D440C"/>
    <w:rsid w:val="004E5D31"/>
    <w:rsid w:val="004E5DE3"/>
    <w:rsid w:val="004E7842"/>
    <w:rsid w:val="0051401D"/>
    <w:rsid w:val="00515E89"/>
    <w:rsid w:val="00521D22"/>
    <w:rsid w:val="00522534"/>
    <w:rsid w:val="005302CF"/>
    <w:rsid w:val="0054427F"/>
    <w:rsid w:val="0055113A"/>
    <w:rsid w:val="005616DB"/>
    <w:rsid w:val="00570F72"/>
    <w:rsid w:val="005766BB"/>
    <w:rsid w:val="00586DF6"/>
    <w:rsid w:val="005A4900"/>
    <w:rsid w:val="005C4ED1"/>
    <w:rsid w:val="005D723F"/>
    <w:rsid w:val="005F516F"/>
    <w:rsid w:val="006012AE"/>
    <w:rsid w:val="00601A6A"/>
    <w:rsid w:val="0060601E"/>
    <w:rsid w:val="00607EB0"/>
    <w:rsid w:val="00610479"/>
    <w:rsid w:val="00635227"/>
    <w:rsid w:val="006426EB"/>
    <w:rsid w:val="0064512D"/>
    <w:rsid w:val="00653CAE"/>
    <w:rsid w:val="006547AD"/>
    <w:rsid w:val="00660EE6"/>
    <w:rsid w:val="00663354"/>
    <w:rsid w:val="00677707"/>
    <w:rsid w:val="006D2B6D"/>
    <w:rsid w:val="006D5B0E"/>
    <w:rsid w:val="006D7488"/>
    <w:rsid w:val="0070151A"/>
    <w:rsid w:val="007120CB"/>
    <w:rsid w:val="007124F8"/>
    <w:rsid w:val="007136E1"/>
    <w:rsid w:val="00714282"/>
    <w:rsid w:val="0073731C"/>
    <w:rsid w:val="00745D3A"/>
    <w:rsid w:val="007554AF"/>
    <w:rsid w:val="007629EF"/>
    <w:rsid w:val="007755A9"/>
    <w:rsid w:val="00787205"/>
    <w:rsid w:val="00793CF4"/>
    <w:rsid w:val="007D2222"/>
    <w:rsid w:val="007D67C1"/>
    <w:rsid w:val="007D75FD"/>
    <w:rsid w:val="007E0A96"/>
    <w:rsid w:val="007F00E4"/>
    <w:rsid w:val="007F1146"/>
    <w:rsid w:val="00800731"/>
    <w:rsid w:val="00812641"/>
    <w:rsid w:val="00812774"/>
    <w:rsid w:val="0081646B"/>
    <w:rsid w:val="0082167E"/>
    <w:rsid w:val="00826E87"/>
    <w:rsid w:val="0084206D"/>
    <w:rsid w:val="00850103"/>
    <w:rsid w:val="00852E30"/>
    <w:rsid w:val="00855C79"/>
    <w:rsid w:val="00870242"/>
    <w:rsid w:val="00871E15"/>
    <w:rsid w:val="008A3E5A"/>
    <w:rsid w:val="008A6740"/>
    <w:rsid w:val="008D2386"/>
    <w:rsid w:val="008F6DB6"/>
    <w:rsid w:val="0090459C"/>
    <w:rsid w:val="0090631D"/>
    <w:rsid w:val="009251C4"/>
    <w:rsid w:val="009273AE"/>
    <w:rsid w:val="00931331"/>
    <w:rsid w:val="00936C28"/>
    <w:rsid w:val="009452D1"/>
    <w:rsid w:val="00950C1A"/>
    <w:rsid w:val="00952723"/>
    <w:rsid w:val="00966C32"/>
    <w:rsid w:val="00972197"/>
    <w:rsid w:val="009746A7"/>
    <w:rsid w:val="00977307"/>
    <w:rsid w:val="009877EA"/>
    <w:rsid w:val="009B1F1C"/>
    <w:rsid w:val="009B7BE0"/>
    <w:rsid w:val="009C17D4"/>
    <w:rsid w:val="009D24A9"/>
    <w:rsid w:val="009E0477"/>
    <w:rsid w:val="009E0FFA"/>
    <w:rsid w:val="00A240E5"/>
    <w:rsid w:val="00A45CCA"/>
    <w:rsid w:val="00A65F68"/>
    <w:rsid w:val="00A83D68"/>
    <w:rsid w:val="00AB36FC"/>
    <w:rsid w:val="00AC7159"/>
    <w:rsid w:val="00AD31A8"/>
    <w:rsid w:val="00AD34EF"/>
    <w:rsid w:val="00AE3BF0"/>
    <w:rsid w:val="00AE45E5"/>
    <w:rsid w:val="00AF79B9"/>
    <w:rsid w:val="00B10E01"/>
    <w:rsid w:val="00B13464"/>
    <w:rsid w:val="00B422FB"/>
    <w:rsid w:val="00B46535"/>
    <w:rsid w:val="00B56795"/>
    <w:rsid w:val="00B7630F"/>
    <w:rsid w:val="00BC7779"/>
    <w:rsid w:val="00BF0F36"/>
    <w:rsid w:val="00BF3932"/>
    <w:rsid w:val="00BF608F"/>
    <w:rsid w:val="00C05370"/>
    <w:rsid w:val="00C113AB"/>
    <w:rsid w:val="00C21114"/>
    <w:rsid w:val="00C32049"/>
    <w:rsid w:val="00C32F2D"/>
    <w:rsid w:val="00C41EDA"/>
    <w:rsid w:val="00C51C5F"/>
    <w:rsid w:val="00C63AD6"/>
    <w:rsid w:val="00C66D11"/>
    <w:rsid w:val="00C7353B"/>
    <w:rsid w:val="00C755B2"/>
    <w:rsid w:val="00C77D10"/>
    <w:rsid w:val="00C77F1C"/>
    <w:rsid w:val="00C80E77"/>
    <w:rsid w:val="00C83CF4"/>
    <w:rsid w:val="00C96B95"/>
    <w:rsid w:val="00CB13C5"/>
    <w:rsid w:val="00CC0C5A"/>
    <w:rsid w:val="00CC71D1"/>
    <w:rsid w:val="00CD3614"/>
    <w:rsid w:val="00CD5A80"/>
    <w:rsid w:val="00D011D7"/>
    <w:rsid w:val="00D346DB"/>
    <w:rsid w:val="00D41D12"/>
    <w:rsid w:val="00D435B3"/>
    <w:rsid w:val="00D54383"/>
    <w:rsid w:val="00D569DE"/>
    <w:rsid w:val="00D72C29"/>
    <w:rsid w:val="00DA034D"/>
    <w:rsid w:val="00DA6848"/>
    <w:rsid w:val="00DC3767"/>
    <w:rsid w:val="00DC635F"/>
    <w:rsid w:val="00DC705E"/>
    <w:rsid w:val="00DD7A46"/>
    <w:rsid w:val="00DE1C83"/>
    <w:rsid w:val="00DF2ACC"/>
    <w:rsid w:val="00E02626"/>
    <w:rsid w:val="00E10767"/>
    <w:rsid w:val="00E113CB"/>
    <w:rsid w:val="00E12838"/>
    <w:rsid w:val="00E139BB"/>
    <w:rsid w:val="00E14A65"/>
    <w:rsid w:val="00E32103"/>
    <w:rsid w:val="00E505B5"/>
    <w:rsid w:val="00E56DDA"/>
    <w:rsid w:val="00E5731B"/>
    <w:rsid w:val="00E71D12"/>
    <w:rsid w:val="00E755E5"/>
    <w:rsid w:val="00E85E9B"/>
    <w:rsid w:val="00E917BC"/>
    <w:rsid w:val="00E978E7"/>
    <w:rsid w:val="00EE0A65"/>
    <w:rsid w:val="00EE2699"/>
    <w:rsid w:val="00EE5454"/>
    <w:rsid w:val="00EF2E6A"/>
    <w:rsid w:val="00F051D9"/>
    <w:rsid w:val="00F07783"/>
    <w:rsid w:val="00F17B98"/>
    <w:rsid w:val="00F31AC8"/>
    <w:rsid w:val="00F34C26"/>
    <w:rsid w:val="00F52461"/>
    <w:rsid w:val="00F57CD6"/>
    <w:rsid w:val="00F629AA"/>
    <w:rsid w:val="00F6434A"/>
    <w:rsid w:val="00F66A73"/>
    <w:rsid w:val="00F7085C"/>
    <w:rsid w:val="00F81F72"/>
    <w:rsid w:val="00FA301F"/>
    <w:rsid w:val="00FA3307"/>
    <w:rsid w:val="00FC0FD5"/>
    <w:rsid w:val="00FC7128"/>
    <w:rsid w:val="00FF6F5F"/>
    <w:rsid w:val="01B204B6"/>
    <w:rsid w:val="03DA7C95"/>
    <w:rsid w:val="04232E32"/>
    <w:rsid w:val="05047743"/>
    <w:rsid w:val="09135F1A"/>
    <w:rsid w:val="09894E2F"/>
    <w:rsid w:val="09D24291"/>
    <w:rsid w:val="0C9B6BDE"/>
    <w:rsid w:val="0FA77F25"/>
    <w:rsid w:val="10A818CA"/>
    <w:rsid w:val="11E4072D"/>
    <w:rsid w:val="1359074C"/>
    <w:rsid w:val="135D370D"/>
    <w:rsid w:val="158433EB"/>
    <w:rsid w:val="16784454"/>
    <w:rsid w:val="16BF11DD"/>
    <w:rsid w:val="18B773FA"/>
    <w:rsid w:val="19764CB1"/>
    <w:rsid w:val="1A25509E"/>
    <w:rsid w:val="1A554F9A"/>
    <w:rsid w:val="1A5C29C2"/>
    <w:rsid w:val="1B651DA3"/>
    <w:rsid w:val="1C645914"/>
    <w:rsid w:val="1F50440C"/>
    <w:rsid w:val="1FB1776E"/>
    <w:rsid w:val="202969ED"/>
    <w:rsid w:val="20A51A2D"/>
    <w:rsid w:val="215C64E4"/>
    <w:rsid w:val="233C2774"/>
    <w:rsid w:val="274E68CF"/>
    <w:rsid w:val="28C26FAC"/>
    <w:rsid w:val="2B526BF2"/>
    <w:rsid w:val="2BB46F1D"/>
    <w:rsid w:val="2C345BA8"/>
    <w:rsid w:val="2FA054F8"/>
    <w:rsid w:val="300703B5"/>
    <w:rsid w:val="309B0CAA"/>
    <w:rsid w:val="365D1558"/>
    <w:rsid w:val="37756932"/>
    <w:rsid w:val="37BB49E2"/>
    <w:rsid w:val="38FA4476"/>
    <w:rsid w:val="39E50740"/>
    <w:rsid w:val="3CC05722"/>
    <w:rsid w:val="3D866913"/>
    <w:rsid w:val="40B01861"/>
    <w:rsid w:val="415657AA"/>
    <w:rsid w:val="42D31F27"/>
    <w:rsid w:val="433A3380"/>
    <w:rsid w:val="436D36BB"/>
    <w:rsid w:val="43A20BAB"/>
    <w:rsid w:val="4714323A"/>
    <w:rsid w:val="47615D53"/>
    <w:rsid w:val="48270F31"/>
    <w:rsid w:val="48746AC2"/>
    <w:rsid w:val="4B971718"/>
    <w:rsid w:val="4BE331DB"/>
    <w:rsid w:val="4D517835"/>
    <w:rsid w:val="4DBB4E9D"/>
    <w:rsid w:val="4E3D039E"/>
    <w:rsid w:val="4F310779"/>
    <w:rsid w:val="526B3F2A"/>
    <w:rsid w:val="5358625C"/>
    <w:rsid w:val="53E75832"/>
    <w:rsid w:val="54CE3AA7"/>
    <w:rsid w:val="563A6F01"/>
    <w:rsid w:val="59335998"/>
    <w:rsid w:val="59E27887"/>
    <w:rsid w:val="5B4236BA"/>
    <w:rsid w:val="5E887250"/>
    <w:rsid w:val="5F4C0F87"/>
    <w:rsid w:val="607C3FC9"/>
    <w:rsid w:val="666B2E92"/>
    <w:rsid w:val="67475B1A"/>
    <w:rsid w:val="677D5B76"/>
    <w:rsid w:val="67E24A1A"/>
    <w:rsid w:val="68677928"/>
    <w:rsid w:val="6BCF0863"/>
    <w:rsid w:val="6C1D139E"/>
    <w:rsid w:val="6F263E64"/>
    <w:rsid w:val="70C80A99"/>
    <w:rsid w:val="73954FC5"/>
    <w:rsid w:val="788B5054"/>
    <w:rsid w:val="79736ACF"/>
    <w:rsid w:val="7BBA57C9"/>
    <w:rsid w:val="7C4461F8"/>
    <w:rsid w:val="7CD0125E"/>
    <w:rsid w:val="7E0155BF"/>
    <w:rsid w:val="7EDE7380"/>
    <w:rsid w:val="7F695CC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nhideWhenUsed="0" w:uiPriority="9" w:semiHidden="0"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qFormat="1" w:uiPriority="99" w:semiHidden="0" w:name="footnote text"/>
    <w:lsdException w:qFormat="1"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qFormat="1"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qFormat="1"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qFormat="1"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qFormat="1"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99"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4"/>
    <w:basedOn w:val="1"/>
    <w:next w:val="1"/>
    <w:qFormat/>
    <w:uiPriority w:val="9"/>
    <w:pPr>
      <w:keepNext/>
      <w:keepLines/>
      <w:numPr>
        <w:ilvl w:val="3"/>
        <w:numId w:val="1"/>
      </w:numPr>
      <w:spacing w:before="280" w:after="290"/>
      <w:outlineLvl w:val="3"/>
    </w:pPr>
    <w:rPr>
      <w:rFonts w:ascii="Arial" w:hAnsi="Arial" w:eastAsia="仿宋" w:cs="Arial"/>
      <w:b/>
      <w:snapToGrid w:val="0"/>
      <w:color w:val="000000"/>
      <w:kern w:val="0"/>
      <w:sz w:val="28"/>
      <w:szCs w:val="21"/>
    </w:rPr>
  </w:style>
  <w:style w:type="character" w:default="1" w:styleId="12">
    <w:name w:val="Default Paragraph Font"/>
    <w:semiHidden/>
    <w:unhideWhenUsed/>
    <w:uiPriority w:val="1"/>
  </w:style>
  <w:style w:type="table" w:default="1" w:styleId="9">
    <w:name w:val="Normal Table"/>
    <w:semiHidden/>
    <w:unhideWhenUsed/>
    <w:qFormat/>
    <w:uiPriority w:val="99"/>
    <w:tblPr>
      <w:tblCellMar>
        <w:top w:w="0" w:type="dxa"/>
        <w:left w:w="108" w:type="dxa"/>
        <w:bottom w:w="0" w:type="dxa"/>
        <w:right w:w="108" w:type="dxa"/>
      </w:tblCellMar>
    </w:tblPr>
  </w:style>
  <w:style w:type="paragraph" w:styleId="3">
    <w:name w:val="annotation text"/>
    <w:basedOn w:val="1"/>
    <w:link w:val="21"/>
    <w:semiHidden/>
    <w:unhideWhenUsed/>
    <w:qFormat/>
    <w:uiPriority w:val="99"/>
    <w:pPr>
      <w:jc w:val="left"/>
    </w:pPr>
  </w:style>
  <w:style w:type="paragraph" w:styleId="4">
    <w:name w:val="Balloon Text"/>
    <w:basedOn w:val="1"/>
    <w:link w:val="15"/>
    <w:semiHidden/>
    <w:unhideWhenUsed/>
    <w:qFormat/>
    <w:uiPriority w:val="99"/>
    <w:rPr>
      <w:rFonts w:ascii="宋体" w:eastAsia="宋体"/>
      <w:sz w:val="18"/>
      <w:szCs w:val="18"/>
    </w:rPr>
  </w:style>
  <w:style w:type="paragraph" w:styleId="5">
    <w:name w:val="footer"/>
    <w:basedOn w:val="1"/>
    <w:link w:val="17"/>
    <w:unhideWhenUsed/>
    <w:qFormat/>
    <w:uiPriority w:val="99"/>
    <w:pPr>
      <w:tabs>
        <w:tab w:val="center" w:pos="4153"/>
        <w:tab w:val="right" w:pos="8306"/>
      </w:tabs>
      <w:snapToGrid w:val="0"/>
      <w:jc w:val="left"/>
    </w:pPr>
    <w:rPr>
      <w:sz w:val="18"/>
      <w:szCs w:val="18"/>
    </w:rPr>
  </w:style>
  <w:style w:type="paragraph" w:styleId="6">
    <w:name w:val="header"/>
    <w:basedOn w:val="1"/>
    <w:link w:val="16"/>
    <w:unhideWhenUsed/>
    <w:qFormat/>
    <w:uiPriority w:val="99"/>
    <w:pPr>
      <w:pBdr>
        <w:bottom w:val="single" w:color="auto" w:sz="6" w:space="1"/>
      </w:pBdr>
      <w:tabs>
        <w:tab w:val="center" w:pos="4153"/>
        <w:tab w:val="right" w:pos="8306"/>
      </w:tabs>
      <w:snapToGrid w:val="0"/>
      <w:jc w:val="center"/>
    </w:pPr>
    <w:rPr>
      <w:sz w:val="18"/>
      <w:szCs w:val="18"/>
    </w:rPr>
  </w:style>
  <w:style w:type="paragraph" w:styleId="7">
    <w:name w:val="footnote text"/>
    <w:basedOn w:val="1"/>
    <w:link w:val="19"/>
    <w:unhideWhenUsed/>
    <w:qFormat/>
    <w:uiPriority w:val="99"/>
    <w:pPr>
      <w:widowControl/>
      <w:jc w:val="left"/>
    </w:pPr>
    <w:rPr>
      <w:rFonts w:cs="Times New Roman"/>
      <w:kern w:val="0"/>
      <w:sz w:val="20"/>
      <w:szCs w:val="20"/>
    </w:rPr>
  </w:style>
  <w:style w:type="paragraph" w:styleId="8">
    <w:name w:val="annotation subject"/>
    <w:basedOn w:val="3"/>
    <w:next w:val="3"/>
    <w:link w:val="22"/>
    <w:semiHidden/>
    <w:unhideWhenUsed/>
    <w:qFormat/>
    <w:uiPriority w:val="99"/>
    <w:rPr>
      <w:b/>
      <w:bCs/>
    </w:rPr>
  </w:style>
  <w:style w:type="table" w:styleId="10">
    <w:name w:val="Table Grid"/>
    <w:basedOn w:val="9"/>
    <w:qFormat/>
    <w:uiPriority w:val="39"/>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11">
    <w:name w:val="Light Shading Accent 1"/>
    <w:basedOn w:val="9"/>
    <w:qFormat/>
    <w:uiPriority w:val="60"/>
    <w:rPr>
      <w:color w:val="2F5597" w:themeColor="accent1" w:themeShade="BF"/>
      <w:sz w:val="22"/>
      <w:szCs w:val="22"/>
    </w:rPr>
    <w:tblPr>
      <w:tblBorders>
        <w:top w:val="single" w:color="4472C4" w:themeColor="accent1" w:sz="8" w:space="0"/>
        <w:bottom w:val="single" w:color="4472C4" w:themeColor="accent1" w:sz="8" w:space="0"/>
      </w:tblBorders>
    </w:tblPr>
    <w:tblStylePr w:type="fir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lastRow">
      <w:pPr>
        <w:spacing w:before="0" w:after="0" w:line="240" w:lineRule="auto"/>
      </w:pPr>
      <w:rPr>
        <w:b/>
        <w:bCs/>
      </w:rPr>
      <w:tblPr/>
      <w:tcPr>
        <w:tcBorders>
          <w:top w:val="single" w:color="4472C4" w:themeColor="accent1" w:sz="8" w:space="0"/>
          <w:left w:val="nil"/>
          <w:bottom w:val="single" w:color="4472C4"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0DCF0" w:themeFill="accent1" w:themeFillTint="3F"/>
      </w:tcPr>
    </w:tblStylePr>
    <w:tblStylePr w:type="band1Horz">
      <w:tblPr/>
      <w:tcPr>
        <w:tcBorders>
          <w:left w:val="nil"/>
          <w:right w:val="nil"/>
          <w:insideH w:val="nil"/>
          <w:insideV w:val="nil"/>
        </w:tcBorders>
        <w:shd w:val="clear" w:color="auto" w:fill="D0DCF0" w:themeFill="accent1" w:themeFillTint="3F"/>
      </w:tcPr>
    </w:tblStylePr>
  </w:style>
  <w:style w:type="character" w:styleId="13">
    <w:name w:val="annotation reference"/>
    <w:basedOn w:val="12"/>
    <w:semiHidden/>
    <w:unhideWhenUsed/>
    <w:qFormat/>
    <w:uiPriority w:val="99"/>
    <w:rPr>
      <w:sz w:val="21"/>
      <w:szCs w:val="21"/>
    </w:rPr>
  </w:style>
  <w:style w:type="paragraph" w:customStyle="1" w:styleId="14">
    <w:name w:val="仿宋正文"/>
    <w:basedOn w:val="1"/>
    <w:qFormat/>
    <w:uiPriority w:val="0"/>
    <w:rPr>
      <w:rFonts w:ascii="仿宋" w:hAnsi="仿宋" w:eastAsia="仿宋"/>
      <w:sz w:val="28"/>
    </w:rPr>
  </w:style>
  <w:style w:type="character" w:customStyle="1" w:styleId="15">
    <w:name w:val="批注框文本 字符"/>
    <w:basedOn w:val="12"/>
    <w:link w:val="4"/>
    <w:semiHidden/>
    <w:qFormat/>
    <w:uiPriority w:val="99"/>
    <w:rPr>
      <w:rFonts w:ascii="宋体" w:eastAsia="宋体"/>
      <w:sz w:val="18"/>
      <w:szCs w:val="18"/>
    </w:rPr>
  </w:style>
  <w:style w:type="character" w:customStyle="1" w:styleId="16">
    <w:name w:val="页眉 字符"/>
    <w:basedOn w:val="12"/>
    <w:link w:val="6"/>
    <w:qFormat/>
    <w:uiPriority w:val="99"/>
    <w:rPr>
      <w:kern w:val="2"/>
      <w:sz w:val="18"/>
      <w:szCs w:val="18"/>
    </w:rPr>
  </w:style>
  <w:style w:type="character" w:customStyle="1" w:styleId="17">
    <w:name w:val="页脚 字符"/>
    <w:basedOn w:val="12"/>
    <w:link w:val="5"/>
    <w:qFormat/>
    <w:uiPriority w:val="99"/>
    <w:rPr>
      <w:kern w:val="2"/>
      <w:sz w:val="18"/>
      <w:szCs w:val="18"/>
    </w:rPr>
  </w:style>
  <w:style w:type="paragraph" w:customStyle="1" w:styleId="18">
    <w:name w:val="Decimal Aligned"/>
    <w:basedOn w:val="1"/>
    <w:qFormat/>
    <w:uiPriority w:val="40"/>
    <w:pPr>
      <w:widowControl/>
      <w:tabs>
        <w:tab w:val="decimal" w:pos="360"/>
      </w:tabs>
      <w:spacing w:after="200" w:line="276" w:lineRule="auto"/>
      <w:jc w:val="left"/>
    </w:pPr>
    <w:rPr>
      <w:rFonts w:cs="Times New Roman"/>
      <w:kern w:val="0"/>
      <w:sz w:val="22"/>
      <w:szCs w:val="22"/>
    </w:rPr>
  </w:style>
  <w:style w:type="character" w:customStyle="1" w:styleId="19">
    <w:name w:val="脚注文本 字符"/>
    <w:basedOn w:val="12"/>
    <w:link w:val="7"/>
    <w:qFormat/>
    <w:uiPriority w:val="99"/>
    <w:rPr>
      <w:rFonts w:cs="Times New Roman"/>
    </w:rPr>
  </w:style>
  <w:style w:type="character" w:customStyle="1" w:styleId="20">
    <w:name w:val="不明显强调1"/>
    <w:basedOn w:val="12"/>
    <w:qFormat/>
    <w:uiPriority w:val="19"/>
    <w:rPr>
      <w:i/>
      <w:iCs/>
    </w:rPr>
  </w:style>
  <w:style w:type="character" w:customStyle="1" w:styleId="21">
    <w:name w:val="批注文字 字符"/>
    <w:basedOn w:val="12"/>
    <w:link w:val="3"/>
    <w:semiHidden/>
    <w:qFormat/>
    <w:uiPriority w:val="99"/>
    <w:rPr>
      <w:kern w:val="2"/>
      <w:sz w:val="21"/>
      <w:szCs w:val="24"/>
    </w:rPr>
  </w:style>
  <w:style w:type="character" w:customStyle="1" w:styleId="22">
    <w:name w:val="批注主题 字符"/>
    <w:basedOn w:val="21"/>
    <w:link w:val="8"/>
    <w:semiHidden/>
    <w:qFormat/>
    <w:uiPriority w:val="99"/>
    <w:rPr>
      <w:b/>
      <w:bCs/>
      <w:kern w:val="2"/>
      <w:sz w:val="21"/>
      <w:szCs w:val="24"/>
    </w:rPr>
  </w:style>
  <w:style w:type="paragraph" w:styleId="23">
    <w:name w:val="List Paragraph"/>
    <w:basedOn w:val="1"/>
    <w:qFormat/>
    <w:uiPriority w:val="99"/>
    <w:pPr>
      <w:ind w:firstLine="420" w:firstLineChars="200"/>
    </w:pPr>
  </w:style>
  <w:style w:type="character" w:customStyle="1" w:styleId="24">
    <w:name w:val="正文文本_"/>
    <w:basedOn w:val="12"/>
    <w:link w:val="25"/>
    <w:qFormat/>
    <w:uiPriority w:val="0"/>
    <w:rPr>
      <w:rFonts w:ascii="宋体" w:hAnsi="宋体" w:cs="宋体"/>
      <w:sz w:val="26"/>
      <w:szCs w:val="26"/>
      <w:lang w:val="zh-CN" w:bidi="zh-CN"/>
    </w:rPr>
  </w:style>
  <w:style w:type="paragraph" w:customStyle="1" w:styleId="25">
    <w:name w:val="正文文本1"/>
    <w:basedOn w:val="1"/>
    <w:link w:val="24"/>
    <w:qFormat/>
    <w:uiPriority w:val="0"/>
    <w:pPr>
      <w:spacing w:line="442" w:lineRule="auto"/>
      <w:ind w:firstLine="400"/>
      <w:jc w:val="left"/>
    </w:pPr>
    <w:rPr>
      <w:rFonts w:ascii="宋体" w:hAnsi="宋体" w:eastAsia="宋体" w:cs="宋体"/>
      <w:kern w:val="0"/>
      <w:sz w:val="26"/>
      <w:szCs w:val="26"/>
      <w:lang w:val="zh-CN" w:bidi="zh-CN"/>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customXml" Target="../customXml/item1.xml"/><Relationship Id="rId7" Type="http://schemas.openxmlformats.org/officeDocument/2006/relationships/numbering" Target="numbering.xml"/><Relationship Id="rId6" Type="http://schemas.openxmlformats.org/officeDocument/2006/relationships/image" Target="media/image3.png"/><Relationship Id="rId5" Type="http://schemas.openxmlformats.org/officeDocument/2006/relationships/image" Target="media/image2.png"/><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1304A73-1C62-45DC-9423-AD3DDA57A9F0}">
  <ds:schemaRefs/>
</ds:datastoreItem>
</file>

<file path=docProps/app.xml><?xml version="1.0" encoding="utf-8"?>
<Properties xmlns="http://schemas.openxmlformats.org/officeDocument/2006/extended-properties" xmlns:vt="http://schemas.openxmlformats.org/officeDocument/2006/docPropsVTypes">
  <Template>Normal.dotm</Template>
  <Pages>12</Pages>
  <Words>8445</Words>
  <Characters>9428</Characters>
  <Lines>76</Lines>
  <Paragraphs>21</Paragraphs>
  <TotalTime>0</TotalTime>
  <ScaleCrop>false</ScaleCrop>
  <LinksUpToDate>false</LinksUpToDate>
  <CharactersWithSpaces>10232</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2022-08-22T02:39:00Z</dcterms:created>
  <dc:creator>Microsoft Office User</dc:creator>
  <cp:lastModifiedBy>品味人生1393126658</cp:lastModifiedBy>
  <cp:lastPrinted>2022-01-20T07:20:00Z</cp:lastPrinted>
  <dcterms:modified xsi:type="dcterms:W3CDTF">2024-11-18T12:09:37Z</dcterms:modified>
  <cp:revision>8</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80247458518E4F51903A5D3AC3D82346_13</vt:lpwstr>
  </property>
</Properties>
</file>