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54A65">
      <w:pPr>
        <w:autoSpaceDE w:val="0"/>
        <w:autoSpaceDN w:val="0"/>
        <w:spacing w:line="480" w:lineRule="auto"/>
        <w:jc w:val="center"/>
        <w:rPr>
          <w:rFonts w:hint="eastAsia" w:ascii="宋体" w:hAnsi="宋体" w:cs="宋体"/>
          <w:b/>
          <w:bCs/>
          <w:spacing w:val="-2"/>
          <w:kern w:val="0"/>
          <w:sz w:val="36"/>
          <w:szCs w:val="36"/>
          <w:lang w:bidi="zh-CN"/>
        </w:rPr>
      </w:pPr>
      <w:r>
        <w:rPr>
          <w:rFonts w:hint="eastAsia" w:ascii="宋体" w:hAnsi="宋体" w:cs="宋体"/>
          <w:b/>
          <w:bCs/>
          <w:spacing w:val="-2"/>
          <w:kern w:val="0"/>
          <w:sz w:val="36"/>
          <w:szCs w:val="36"/>
          <w:lang w:bidi="zh-CN"/>
        </w:rPr>
        <w:t>202</w:t>
      </w:r>
      <w:r>
        <w:rPr>
          <w:rFonts w:hint="eastAsia" w:ascii="宋体" w:hAnsi="宋体" w:cs="宋体"/>
          <w:b/>
          <w:bCs/>
          <w:spacing w:val="-2"/>
          <w:kern w:val="0"/>
          <w:sz w:val="36"/>
          <w:szCs w:val="36"/>
          <w:lang w:val="en-US" w:bidi="zh-CN"/>
        </w:rPr>
        <w:t>5</w:t>
      </w:r>
      <w:r>
        <w:rPr>
          <w:rFonts w:hint="eastAsia" w:ascii="宋体" w:hAnsi="宋体" w:cs="宋体"/>
          <w:b/>
          <w:bCs/>
          <w:spacing w:val="-2"/>
          <w:kern w:val="0"/>
          <w:sz w:val="36"/>
          <w:szCs w:val="36"/>
          <w:lang w:bidi="zh-CN"/>
        </w:rPr>
        <w:t>年成都市中等职业（技工）学校师生技能大赛</w:t>
      </w:r>
    </w:p>
    <w:p w14:paraId="0EC93802">
      <w:pPr>
        <w:autoSpaceDE w:val="0"/>
        <w:autoSpaceDN w:val="0"/>
        <w:spacing w:line="480" w:lineRule="auto"/>
        <w:jc w:val="center"/>
        <w:rPr>
          <w:rFonts w:ascii="宋体" w:hAnsi="宋体" w:cs="宋体"/>
          <w:b/>
          <w:bCs/>
          <w:spacing w:val="-2"/>
          <w:kern w:val="0"/>
          <w:sz w:val="36"/>
          <w:szCs w:val="36"/>
          <w:lang w:bidi="zh-CN"/>
        </w:rPr>
      </w:pPr>
      <w:r>
        <w:rPr>
          <w:rFonts w:hint="eastAsia" w:ascii="宋体" w:hAnsi="宋体" w:cs="宋体"/>
          <w:b/>
          <w:bCs/>
          <w:spacing w:val="-2"/>
          <w:kern w:val="0"/>
          <w:sz w:val="36"/>
          <w:szCs w:val="36"/>
          <w:lang w:bidi="zh-CN"/>
        </w:rPr>
        <w:t>赛项规程</w:t>
      </w:r>
    </w:p>
    <w:p w14:paraId="538FB90C">
      <w:pPr>
        <w:autoSpaceDE w:val="0"/>
        <w:autoSpaceDN w:val="0"/>
        <w:spacing w:before="34" w:line="242" w:lineRule="auto"/>
        <w:ind w:left="3413" w:right="1333" w:hanging="2161"/>
        <w:jc w:val="left"/>
        <w:rPr>
          <w:rFonts w:ascii="宋体" w:hAnsi="宋体" w:cs="宋体"/>
          <w:spacing w:val="-2"/>
          <w:kern w:val="0"/>
          <w:sz w:val="72"/>
          <w:szCs w:val="22"/>
          <w:lang w:bidi="zh-CN"/>
        </w:rPr>
      </w:pPr>
    </w:p>
    <w:p w14:paraId="560C65AB"/>
    <w:p w14:paraId="1E88692D">
      <w:pPr>
        <w:snapToGrid w:val="0"/>
        <w:spacing w:line="243" w:lineRule="atLeast"/>
        <w:rPr>
          <w:rFonts w:ascii="Times New Roman" w:hAnsi="Times New Roman"/>
        </w:rPr>
      </w:pPr>
    </w:p>
    <w:p w14:paraId="6698CF8C">
      <w:pPr>
        <w:pStyle w:val="2"/>
        <w:rPr>
          <w:rFonts w:ascii="Times New Roman" w:hAnsi="Times New Roman"/>
        </w:rPr>
      </w:pPr>
    </w:p>
    <w:p w14:paraId="3283360F">
      <w:pPr>
        <w:rPr>
          <w:rFonts w:ascii="Times New Roman" w:hAnsi="Times New Roman"/>
        </w:rPr>
      </w:pPr>
    </w:p>
    <w:p w14:paraId="5F67DA50">
      <w:pPr>
        <w:pStyle w:val="2"/>
        <w:rPr>
          <w:rFonts w:ascii="Times New Roman" w:hAnsi="Times New Roman"/>
        </w:rPr>
      </w:pPr>
    </w:p>
    <w:p w14:paraId="4FDBCD6D">
      <w:pPr>
        <w:rPr>
          <w:rFonts w:ascii="Times New Roman" w:hAnsi="Times New Roman"/>
        </w:rPr>
      </w:pPr>
    </w:p>
    <w:p w14:paraId="15295D45">
      <w:pPr>
        <w:pStyle w:val="2"/>
        <w:rPr>
          <w:rFonts w:ascii="Times New Roman" w:hAnsi="Times New Roman"/>
        </w:rPr>
      </w:pPr>
    </w:p>
    <w:p w14:paraId="50D2749E">
      <w:pPr>
        <w:rPr>
          <w:rFonts w:ascii="Times New Roman" w:hAnsi="Times New Roman"/>
        </w:rPr>
      </w:pPr>
    </w:p>
    <w:p w14:paraId="4ADE35F1">
      <w:pPr>
        <w:pStyle w:val="2"/>
        <w:rPr>
          <w:rFonts w:ascii="Times New Roman" w:hAnsi="Times New Roman"/>
        </w:rPr>
      </w:pPr>
    </w:p>
    <w:p w14:paraId="52F2D2B8">
      <w:pPr>
        <w:rPr>
          <w:rFonts w:ascii="Times New Roman" w:hAnsi="Times New Roman"/>
        </w:rPr>
      </w:pPr>
    </w:p>
    <w:p w14:paraId="2CB55F03">
      <w:pPr>
        <w:pStyle w:val="2"/>
        <w:rPr>
          <w:rFonts w:ascii="Times New Roman" w:hAnsi="Times New Roman"/>
        </w:rPr>
      </w:pPr>
    </w:p>
    <w:p w14:paraId="15DC29E5">
      <w:pPr>
        <w:rPr>
          <w:rFonts w:ascii="Times New Roman" w:hAnsi="Times New Roman"/>
        </w:rPr>
      </w:pPr>
    </w:p>
    <w:p w14:paraId="5AC2CCB9">
      <w:pPr>
        <w:pStyle w:val="2"/>
      </w:pPr>
    </w:p>
    <w:p w14:paraId="11143BFA">
      <w:pPr>
        <w:spacing w:line="600" w:lineRule="auto"/>
        <w:ind w:left="839"/>
        <w:rPr>
          <w:rFonts w:ascii="黑体" w:hAnsi="黑体" w:eastAsia="黑体" w:cs="黑体"/>
          <w:sz w:val="32"/>
          <w:u w:val="single"/>
        </w:rPr>
      </w:pPr>
      <w:r>
        <w:rPr>
          <w:rFonts w:hint="eastAsia" w:ascii="黑体" w:hAnsi="黑体" w:eastAsia="黑体" w:cs="黑体"/>
          <w:sz w:val="32"/>
        </w:rPr>
        <w:t>赛项名称：</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 xml:space="preserve"> </w:t>
      </w:r>
      <w:r>
        <w:rPr>
          <w:rFonts w:hint="eastAsia" w:ascii="黑体" w:hAnsi="黑体" w:eastAsia="黑体" w:cs="黑体"/>
          <w:sz w:val="32"/>
          <w:u w:val="single"/>
        </w:rPr>
        <w:t xml:space="preserve">  </w:t>
      </w:r>
      <w:r>
        <w:rPr>
          <w:rFonts w:hint="eastAsia" w:ascii="黑体" w:hAnsi="黑体" w:eastAsia="黑体" w:cs="仿宋"/>
          <w:sz w:val="32"/>
          <w:u w:val="single"/>
        </w:rPr>
        <w:t>城市轨道交通运营与维护</w:t>
      </w:r>
      <w:r>
        <w:rPr>
          <w:rFonts w:hint="eastAsia" w:ascii="黑体" w:hAnsi="黑体" w:eastAsia="黑体" w:cs="黑体"/>
          <w:sz w:val="32"/>
          <w:u w:val="single"/>
        </w:rPr>
        <w:t xml:space="preserve">    </w:t>
      </w:r>
    </w:p>
    <w:p w14:paraId="4629B6DE">
      <w:pPr>
        <w:spacing w:line="600" w:lineRule="auto"/>
        <w:ind w:left="2438" w:leftChars="399" w:hanging="1600" w:hangingChars="500"/>
        <w:rPr>
          <w:rFonts w:hint="eastAsia" w:ascii="黑体" w:hAnsi="黑体" w:eastAsia="黑体"/>
          <w:sz w:val="32"/>
          <w:szCs w:val="32"/>
          <w:u w:val="single"/>
          <w:lang w:val="en-US" w:eastAsia="zh-CN"/>
        </w:rPr>
      </w:pPr>
      <w:r>
        <w:rPr>
          <w:rFonts w:hint="eastAsia" w:ascii="黑体" w:hAnsi="黑体" w:eastAsia="黑体" w:cs="黑体"/>
          <w:sz w:val="32"/>
        </w:rPr>
        <w:t>英文名称</w:t>
      </w:r>
      <w:r>
        <w:rPr>
          <w:rFonts w:ascii="黑体" w:hAnsi="黑体" w:eastAsia="黑体" w:cs="黑体"/>
          <w:sz w:val="32"/>
        </w:rPr>
        <w:t>:</w:t>
      </w:r>
      <w:r>
        <w:rPr>
          <w:rFonts w:hint="eastAsia" w:ascii="黑体" w:hAnsi="黑体" w:eastAsia="黑体"/>
          <w:sz w:val="32"/>
          <w:szCs w:val="32"/>
          <w:u w:val="single"/>
          <w:lang w:val="en-US" w:eastAsia="zh-CN"/>
        </w:rPr>
        <w:t xml:space="preserve">  Operation and maintenance of </w:t>
      </w:r>
    </w:p>
    <w:p w14:paraId="0677792A">
      <w:pPr>
        <w:spacing w:line="600" w:lineRule="auto"/>
        <w:ind w:firstLine="2240" w:firstLineChars="700"/>
        <w:rPr>
          <w:rFonts w:ascii="黑体" w:hAnsi="黑体" w:eastAsia="黑体" w:cs="Calibri"/>
          <w:sz w:val="32"/>
          <w:szCs w:val="32"/>
          <w:u w:val="single"/>
        </w:rPr>
      </w:pPr>
      <w:r>
        <w:rPr>
          <w:rFonts w:hint="eastAsia" w:ascii="黑体" w:hAnsi="黑体" w:eastAsia="黑体"/>
          <w:sz w:val="32"/>
          <w:szCs w:val="32"/>
          <w:u w:val="single"/>
          <w:lang w:val="en-US" w:eastAsia="zh-CN"/>
        </w:rPr>
        <w:t>urban rail transit</w:t>
      </w:r>
      <w:r>
        <w:rPr>
          <w:rFonts w:ascii="黑体" w:hAnsi="黑体" w:eastAsia="黑体"/>
          <w:sz w:val="32"/>
          <w:szCs w:val="32"/>
          <w:u w:val="single"/>
        </w:rPr>
        <w:t xml:space="preserve">       </w:t>
      </w:r>
      <w:r>
        <w:rPr>
          <w:rFonts w:hint="eastAsia" w:ascii="黑体" w:hAnsi="黑体" w:eastAsia="黑体"/>
          <w:sz w:val="32"/>
          <w:szCs w:val="32"/>
          <w:u w:val="single"/>
          <w:lang w:val="en-US" w:eastAsia="zh-CN"/>
        </w:rPr>
        <w:t xml:space="preserve">   </w:t>
      </w:r>
      <w:r>
        <w:rPr>
          <w:rFonts w:ascii="黑体" w:hAnsi="黑体" w:eastAsia="黑体"/>
          <w:sz w:val="32"/>
          <w:szCs w:val="32"/>
          <w:u w:val="single"/>
        </w:rPr>
        <w:t xml:space="preserve">   </w:t>
      </w:r>
    </w:p>
    <w:p w14:paraId="602491EF">
      <w:pPr>
        <w:spacing w:line="600" w:lineRule="auto"/>
        <w:ind w:left="839"/>
        <w:rPr>
          <w:rFonts w:hint="eastAsia" w:ascii="黑体" w:hAnsi="黑体" w:eastAsia="黑体" w:cs="黑体"/>
          <w:sz w:val="32"/>
          <w:u w:val="single"/>
        </w:rPr>
      </w:pPr>
      <w:r>
        <w:rPr>
          <w:rFonts w:hint="eastAsia" w:ascii="黑体" w:hAnsi="黑体" w:eastAsia="黑体" w:cs="黑体"/>
          <w:sz w:val="32"/>
        </w:rPr>
        <w:t>赛项组别：</w:t>
      </w:r>
      <w:r>
        <w:rPr>
          <w:rFonts w:hint="eastAsia" w:ascii="黑体" w:hAnsi="黑体" w:eastAsia="黑体" w:cs="黑体"/>
          <w:sz w:val="32"/>
          <w:u w:val="single"/>
        </w:rPr>
        <w:t xml:space="preserve">  </w:t>
      </w:r>
      <w:r>
        <w:rPr>
          <w:rFonts w:ascii="黑体" w:hAnsi="黑体" w:eastAsia="黑体" w:cs="黑体"/>
          <w:sz w:val="32"/>
          <w:u w:val="single"/>
        </w:rPr>
        <w:t xml:space="preserve">     </w:t>
      </w:r>
      <w:r>
        <w:rPr>
          <w:rFonts w:hint="eastAsia" w:ascii="黑体" w:hAnsi="黑体" w:eastAsia="黑体" w:cs="仿宋"/>
          <w:sz w:val="32"/>
          <w:u w:val="single"/>
        </w:rPr>
        <w:t>中等职业教育</w:t>
      </w:r>
      <w:r>
        <w:rPr>
          <w:rFonts w:hint="eastAsia" w:ascii="黑体" w:hAnsi="黑体" w:eastAsia="黑体" w:cs="黑体"/>
          <w:sz w:val="32"/>
          <w:u w:val="single"/>
        </w:rPr>
        <w:t xml:space="preserve">           </w:t>
      </w:r>
    </w:p>
    <w:p w14:paraId="332D6888">
      <w:pPr>
        <w:pStyle w:val="2"/>
        <w:rPr>
          <w:rFonts w:hint="default" w:eastAsia="黑体"/>
          <w:lang w:val="en-US" w:eastAsia="zh-CN"/>
        </w:rPr>
      </w:pPr>
      <w:r>
        <w:rPr>
          <w:rFonts w:hint="eastAsia" w:ascii="黑体" w:hAnsi="黑体" w:eastAsia="黑体" w:cs="黑体"/>
          <w:sz w:val="32"/>
          <w:u w:val="none"/>
          <w:lang w:val="en-US" w:eastAsia="zh-CN"/>
        </w:rPr>
        <w:t xml:space="preserve"> 赛项编号：       CDZZ2025006            </w:t>
      </w:r>
    </w:p>
    <w:p w14:paraId="0E17AE2C"/>
    <w:p w14:paraId="5260FF6A">
      <w:pPr>
        <w:pStyle w:val="2"/>
        <w:rPr>
          <w:rFonts w:hint="default" w:eastAsia="宋体"/>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 xml:space="preserve">  </w:t>
      </w:r>
    </w:p>
    <w:p w14:paraId="4820879C"/>
    <w:p w14:paraId="4DA2884B">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一、赛项信息</w:t>
      </w:r>
    </w:p>
    <w:tbl>
      <w:tblPr>
        <w:tblStyle w:val="12"/>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98"/>
        <w:gridCol w:w="1365"/>
        <w:gridCol w:w="4436"/>
      </w:tblGrid>
      <w:tr w14:paraId="45A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8942" w:type="dxa"/>
            <w:gridSpan w:val="5"/>
            <w:vAlign w:val="center"/>
          </w:tcPr>
          <w:p w14:paraId="0443B391">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赛项组别</w:t>
            </w:r>
          </w:p>
        </w:tc>
      </w:tr>
      <w:tr w14:paraId="70F4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8942" w:type="dxa"/>
            <w:gridSpan w:val="5"/>
            <w:vAlign w:val="center"/>
          </w:tcPr>
          <w:p w14:paraId="6AB241B7">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sym w:font="Wingdings 2" w:char="0052"/>
            </w:r>
            <w:r>
              <w:rPr>
                <w:rFonts w:hint="eastAsia" w:ascii="仿宋" w:hAnsi="仿宋" w:eastAsia="仿宋" w:cs="仿宋"/>
                <w:bCs/>
                <w:sz w:val="24"/>
              </w:rPr>
              <w:t>中等职业教育□高等职业教育</w:t>
            </w:r>
          </w:p>
        </w:tc>
      </w:tr>
      <w:tr w14:paraId="0722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942" w:type="dxa"/>
            <w:gridSpan w:val="5"/>
            <w:vAlign w:val="center"/>
          </w:tcPr>
          <w:p w14:paraId="2538911B">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sym w:font="Wingdings 2" w:char="0052"/>
            </w:r>
            <w:r>
              <w:rPr>
                <w:rFonts w:hint="eastAsia" w:ascii="仿宋" w:hAnsi="仿宋" w:eastAsia="仿宋" w:cs="仿宋"/>
                <w:bCs/>
                <w:sz w:val="24"/>
              </w:rPr>
              <w:t>学生赛（□个人/</w:t>
            </w:r>
            <w:r>
              <w:rPr>
                <w:rFonts w:hint="eastAsia" w:ascii="仿宋" w:hAnsi="仿宋" w:eastAsia="仿宋" w:cs="仿宋"/>
                <w:bCs/>
                <w:sz w:val="24"/>
              </w:rPr>
              <w:sym w:font="Wingdings 2" w:char="0052"/>
            </w:r>
            <w:r>
              <w:rPr>
                <w:rFonts w:hint="eastAsia" w:ascii="仿宋" w:hAnsi="仿宋" w:eastAsia="仿宋" w:cs="仿宋"/>
                <w:bCs/>
                <w:sz w:val="24"/>
              </w:rPr>
              <w:t>团体）□教师赛（试点）□师生同赛（试点）</w:t>
            </w:r>
          </w:p>
        </w:tc>
      </w:tr>
      <w:tr w14:paraId="6AF8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2" w:type="dxa"/>
            <w:gridSpan w:val="5"/>
            <w:vAlign w:val="center"/>
          </w:tcPr>
          <w:p w14:paraId="035E1999">
            <w:pPr>
              <w:adjustRightInd w:val="0"/>
              <w:snapToGrid w:val="0"/>
              <w:jc w:val="center"/>
              <w:rPr>
                <w:rFonts w:hint="eastAsia" w:ascii="仿宋" w:hAnsi="仿宋" w:eastAsia="仿宋" w:cs="仿宋"/>
                <w:bCs/>
                <w:sz w:val="24"/>
              </w:rPr>
            </w:pPr>
            <w:r>
              <w:rPr>
                <w:rFonts w:hint="eastAsia" w:ascii="仿宋" w:hAnsi="仿宋" w:eastAsia="仿宋" w:cs="仿宋"/>
                <w:b/>
                <w:sz w:val="28"/>
                <w:szCs w:val="28"/>
              </w:rPr>
              <w:t>涉及专业大类、专业类、专业及核心课程</w:t>
            </w:r>
          </w:p>
        </w:tc>
      </w:tr>
      <w:tr w14:paraId="3DAD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26" w:type="dxa"/>
            <w:vAlign w:val="center"/>
          </w:tcPr>
          <w:p w14:paraId="14205E87">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专业大类</w:t>
            </w:r>
          </w:p>
        </w:tc>
        <w:tc>
          <w:tcPr>
            <w:tcW w:w="1615" w:type="dxa"/>
            <w:gridSpan w:val="2"/>
            <w:vAlign w:val="center"/>
          </w:tcPr>
          <w:p w14:paraId="08072C3F">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专业类</w:t>
            </w:r>
          </w:p>
        </w:tc>
        <w:tc>
          <w:tcPr>
            <w:tcW w:w="1365" w:type="dxa"/>
            <w:vAlign w:val="center"/>
          </w:tcPr>
          <w:p w14:paraId="12AC7A99">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专业名称</w:t>
            </w:r>
          </w:p>
        </w:tc>
        <w:tc>
          <w:tcPr>
            <w:tcW w:w="4436" w:type="dxa"/>
            <w:vAlign w:val="center"/>
          </w:tcPr>
          <w:p w14:paraId="1126957E">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核心课程</w:t>
            </w:r>
          </w:p>
          <w:p w14:paraId="07C95F32">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（对应每个专业，明确涉及专业核心课程）</w:t>
            </w:r>
          </w:p>
        </w:tc>
      </w:tr>
      <w:tr w14:paraId="4599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526" w:type="dxa"/>
            <w:vMerge w:val="restart"/>
            <w:vAlign w:val="center"/>
          </w:tcPr>
          <w:p w14:paraId="3D823220">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70交通运输大类</w:t>
            </w:r>
          </w:p>
        </w:tc>
        <w:tc>
          <w:tcPr>
            <w:tcW w:w="1615" w:type="dxa"/>
            <w:gridSpan w:val="2"/>
            <w:vMerge w:val="restart"/>
            <w:vAlign w:val="center"/>
          </w:tcPr>
          <w:p w14:paraId="187274EE">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7006 城市轨</w:t>
            </w:r>
          </w:p>
          <w:p w14:paraId="4648317F">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道交通类</w:t>
            </w:r>
          </w:p>
        </w:tc>
        <w:tc>
          <w:tcPr>
            <w:tcW w:w="1365" w:type="dxa"/>
            <w:vMerge w:val="restart"/>
            <w:vAlign w:val="center"/>
          </w:tcPr>
          <w:p w14:paraId="4D32B0CA">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700604城市轨道交通运营服务</w:t>
            </w:r>
          </w:p>
        </w:tc>
        <w:tc>
          <w:tcPr>
            <w:tcW w:w="4436" w:type="dxa"/>
            <w:vAlign w:val="center"/>
          </w:tcPr>
          <w:p w14:paraId="4CA1186D">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智能化售票系统与票务服务</w:t>
            </w:r>
          </w:p>
        </w:tc>
      </w:tr>
      <w:tr w14:paraId="3255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1526" w:type="dxa"/>
            <w:vMerge w:val="continue"/>
            <w:vAlign w:val="center"/>
          </w:tcPr>
          <w:p w14:paraId="43B3B79A">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6DEF08E6">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5311D0D2">
            <w:pPr>
              <w:adjustRightInd w:val="0"/>
              <w:snapToGrid w:val="0"/>
              <w:spacing w:line="360" w:lineRule="auto"/>
              <w:jc w:val="center"/>
              <w:rPr>
                <w:rFonts w:hint="eastAsia" w:ascii="仿宋" w:hAnsi="仿宋" w:eastAsia="仿宋" w:cs="仿宋"/>
                <w:bCs/>
                <w:sz w:val="24"/>
              </w:rPr>
            </w:pPr>
          </w:p>
        </w:tc>
        <w:tc>
          <w:tcPr>
            <w:tcW w:w="4436" w:type="dxa"/>
            <w:vAlign w:val="center"/>
          </w:tcPr>
          <w:p w14:paraId="3621AAD0">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城市轨道交通车站设备操作</w:t>
            </w:r>
          </w:p>
        </w:tc>
      </w:tr>
      <w:tr w14:paraId="65F5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1526" w:type="dxa"/>
            <w:vMerge w:val="continue"/>
            <w:vAlign w:val="center"/>
          </w:tcPr>
          <w:p w14:paraId="6649715A">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4CEDE9D2">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71C28992">
            <w:pPr>
              <w:adjustRightInd w:val="0"/>
              <w:snapToGrid w:val="0"/>
              <w:spacing w:line="360" w:lineRule="auto"/>
              <w:jc w:val="center"/>
              <w:rPr>
                <w:rFonts w:hint="eastAsia" w:ascii="仿宋" w:hAnsi="仿宋" w:eastAsia="仿宋" w:cs="仿宋"/>
                <w:bCs/>
                <w:sz w:val="24"/>
              </w:rPr>
            </w:pPr>
          </w:p>
        </w:tc>
        <w:tc>
          <w:tcPr>
            <w:tcW w:w="4436" w:type="dxa"/>
            <w:vAlign w:val="center"/>
          </w:tcPr>
          <w:p w14:paraId="77475084">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城市轨道交通客运组织实务</w:t>
            </w:r>
          </w:p>
        </w:tc>
      </w:tr>
      <w:tr w14:paraId="5C1B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1526" w:type="dxa"/>
            <w:vMerge w:val="continue"/>
            <w:vAlign w:val="center"/>
          </w:tcPr>
          <w:p w14:paraId="7153C913">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08C9EC16">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44E14B16">
            <w:pPr>
              <w:adjustRightInd w:val="0"/>
              <w:snapToGrid w:val="0"/>
              <w:spacing w:line="360" w:lineRule="auto"/>
              <w:jc w:val="center"/>
              <w:rPr>
                <w:rFonts w:hint="eastAsia" w:ascii="仿宋" w:hAnsi="仿宋" w:eastAsia="仿宋" w:cs="仿宋"/>
                <w:bCs/>
                <w:sz w:val="24"/>
              </w:rPr>
            </w:pPr>
          </w:p>
        </w:tc>
        <w:tc>
          <w:tcPr>
            <w:tcW w:w="4436" w:type="dxa"/>
            <w:vAlign w:val="center"/>
          </w:tcPr>
          <w:p w14:paraId="336D04FA">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城市轨道交通车站行车作业</w:t>
            </w:r>
          </w:p>
        </w:tc>
      </w:tr>
      <w:tr w14:paraId="7EB2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526" w:type="dxa"/>
            <w:vMerge w:val="continue"/>
            <w:vAlign w:val="center"/>
          </w:tcPr>
          <w:p w14:paraId="4694FB98">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282BDC63">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3E2E99E6">
            <w:pPr>
              <w:adjustRightInd w:val="0"/>
              <w:snapToGrid w:val="0"/>
              <w:spacing w:line="360" w:lineRule="auto"/>
              <w:jc w:val="center"/>
              <w:rPr>
                <w:rFonts w:hint="eastAsia" w:ascii="仿宋" w:hAnsi="仿宋" w:eastAsia="仿宋" w:cs="仿宋"/>
                <w:bCs/>
                <w:sz w:val="24"/>
              </w:rPr>
            </w:pPr>
          </w:p>
        </w:tc>
        <w:tc>
          <w:tcPr>
            <w:tcW w:w="4436" w:type="dxa"/>
            <w:vAlign w:val="center"/>
          </w:tcPr>
          <w:p w14:paraId="41CEED3B">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城市轨道交通车站突发事件应急处置</w:t>
            </w:r>
          </w:p>
        </w:tc>
      </w:tr>
      <w:tr w14:paraId="7040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526" w:type="dxa"/>
            <w:vMerge w:val="continue"/>
            <w:vAlign w:val="center"/>
          </w:tcPr>
          <w:p w14:paraId="59AD6DC0">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34311B6E">
            <w:pPr>
              <w:adjustRightInd w:val="0"/>
              <w:snapToGrid w:val="0"/>
              <w:spacing w:line="360" w:lineRule="auto"/>
              <w:jc w:val="center"/>
              <w:rPr>
                <w:rFonts w:hint="eastAsia" w:ascii="仿宋" w:hAnsi="仿宋" w:eastAsia="仿宋" w:cs="仿宋"/>
                <w:bCs/>
                <w:sz w:val="24"/>
              </w:rPr>
            </w:pPr>
          </w:p>
        </w:tc>
        <w:tc>
          <w:tcPr>
            <w:tcW w:w="1365" w:type="dxa"/>
            <w:vMerge w:val="restart"/>
            <w:vAlign w:val="center"/>
          </w:tcPr>
          <w:p w14:paraId="21363A1D">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700602 城市轨道交通信号维护</w:t>
            </w:r>
          </w:p>
        </w:tc>
        <w:tc>
          <w:tcPr>
            <w:tcW w:w="4436" w:type="dxa"/>
            <w:vAlign w:val="center"/>
          </w:tcPr>
          <w:p w14:paraId="60E8918B">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城轨信号基础设备维护</w:t>
            </w:r>
          </w:p>
        </w:tc>
      </w:tr>
      <w:tr w14:paraId="3CCA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1526" w:type="dxa"/>
            <w:vMerge w:val="continue"/>
            <w:vAlign w:val="center"/>
          </w:tcPr>
          <w:p w14:paraId="57C80F5E">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3254806E">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2B151809">
            <w:pPr>
              <w:adjustRightInd w:val="0"/>
              <w:snapToGrid w:val="0"/>
              <w:spacing w:line="360" w:lineRule="auto"/>
              <w:jc w:val="center"/>
              <w:rPr>
                <w:rFonts w:hint="eastAsia" w:ascii="仿宋" w:hAnsi="仿宋" w:eastAsia="仿宋" w:cs="仿宋"/>
                <w:bCs/>
                <w:sz w:val="24"/>
              </w:rPr>
            </w:pPr>
          </w:p>
        </w:tc>
        <w:tc>
          <w:tcPr>
            <w:tcW w:w="4436" w:type="dxa"/>
            <w:vAlign w:val="center"/>
          </w:tcPr>
          <w:p w14:paraId="7D646C4F">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城轨信号系统操作与检测</w:t>
            </w:r>
          </w:p>
        </w:tc>
      </w:tr>
      <w:tr w14:paraId="4F1F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1526" w:type="dxa"/>
            <w:vMerge w:val="continue"/>
            <w:vAlign w:val="center"/>
          </w:tcPr>
          <w:p w14:paraId="7AE032DF">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62051E39">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6632F642">
            <w:pPr>
              <w:adjustRightInd w:val="0"/>
              <w:snapToGrid w:val="0"/>
              <w:spacing w:line="360" w:lineRule="auto"/>
              <w:jc w:val="center"/>
              <w:rPr>
                <w:rFonts w:hint="eastAsia" w:ascii="仿宋" w:hAnsi="仿宋" w:eastAsia="仿宋" w:cs="仿宋"/>
                <w:bCs/>
                <w:sz w:val="24"/>
              </w:rPr>
            </w:pPr>
          </w:p>
        </w:tc>
        <w:tc>
          <w:tcPr>
            <w:tcW w:w="4436" w:type="dxa"/>
            <w:vAlign w:val="center"/>
          </w:tcPr>
          <w:p w14:paraId="4B0BCCB4">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轨道交通联锁设备维护</w:t>
            </w:r>
          </w:p>
        </w:tc>
      </w:tr>
      <w:tr w14:paraId="30E6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526" w:type="dxa"/>
            <w:vMerge w:val="continue"/>
            <w:vAlign w:val="center"/>
          </w:tcPr>
          <w:p w14:paraId="2F8A8EB9">
            <w:pPr>
              <w:adjustRightInd w:val="0"/>
              <w:snapToGrid w:val="0"/>
              <w:spacing w:line="360" w:lineRule="auto"/>
              <w:jc w:val="center"/>
              <w:rPr>
                <w:rFonts w:hint="eastAsia" w:ascii="仿宋" w:hAnsi="仿宋" w:eastAsia="仿宋" w:cs="仿宋"/>
                <w:bCs/>
                <w:sz w:val="24"/>
              </w:rPr>
            </w:pPr>
          </w:p>
        </w:tc>
        <w:tc>
          <w:tcPr>
            <w:tcW w:w="1615" w:type="dxa"/>
            <w:gridSpan w:val="2"/>
            <w:vMerge w:val="continue"/>
            <w:vAlign w:val="center"/>
          </w:tcPr>
          <w:p w14:paraId="395815DC">
            <w:pPr>
              <w:adjustRightInd w:val="0"/>
              <w:snapToGrid w:val="0"/>
              <w:spacing w:line="360" w:lineRule="auto"/>
              <w:jc w:val="center"/>
              <w:rPr>
                <w:rFonts w:hint="eastAsia" w:ascii="仿宋" w:hAnsi="仿宋" w:eastAsia="仿宋" w:cs="仿宋"/>
                <w:bCs/>
                <w:sz w:val="24"/>
              </w:rPr>
            </w:pPr>
          </w:p>
        </w:tc>
        <w:tc>
          <w:tcPr>
            <w:tcW w:w="1365" w:type="dxa"/>
            <w:vMerge w:val="continue"/>
            <w:vAlign w:val="center"/>
          </w:tcPr>
          <w:p w14:paraId="09258FD1">
            <w:pPr>
              <w:adjustRightInd w:val="0"/>
              <w:snapToGrid w:val="0"/>
              <w:spacing w:line="360" w:lineRule="auto"/>
              <w:jc w:val="center"/>
              <w:rPr>
                <w:rFonts w:hint="eastAsia" w:ascii="仿宋" w:hAnsi="仿宋" w:eastAsia="仿宋" w:cs="仿宋"/>
                <w:bCs/>
                <w:sz w:val="24"/>
              </w:rPr>
            </w:pPr>
          </w:p>
        </w:tc>
        <w:tc>
          <w:tcPr>
            <w:tcW w:w="4436" w:type="dxa"/>
            <w:vAlign w:val="center"/>
          </w:tcPr>
          <w:p w14:paraId="1538A7DD">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城市轨道交通信号施工</w:t>
            </w:r>
          </w:p>
        </w:tc>
      </w:tr>
      <w:tr w14:paraId="0173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2" w:type="dxa"/>
            <w:gridSpan w:val="5"/>
            <w:vAlign w:val="center"/>
          </w:tcPr>
          <w:p w14:paraId="25CF9CFA">
            <w:pPr>
              <w:adjustRightInd w:val="0"/>
              <w:snapToGrid w:val="0"/>
              <w:jc w:val="center"/>
              <w:rPr>
                <w:rFonts w:hint="eastAsia" w:ascii="仿宋" w:hAnsi="仿宋" w:eastAsia="仿宋" w:cs="仿宋"/>
                <w:bCs/>
                <w:sz w:val="24"/>
              </w:rPr>
            </w:pPr>
            <w:r>
              <w:rPr>
                <w:rFonts w:hint="eastAsia" w:ascii="仿宋" w:hAnsi="仿宋" w:eastAsia="仿宋" w:cs="仿宋"/>
                <w:b/>
                <w:sz w:val="28"/>
                <w:szCs w:val="28"/>
              </w:rPr>
              <w:t>对接产业行业、对应岗位（群）及核心能力</w:t>
            </w:r>
          </w:p>
        </w:tc>
      </w:tr>
      <w:tr w14:paraId="4A6A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26" w:type="dxa"/>
            <w:vAlign w:val="center"/>
          </w:tcPr>
          <w:p w14:paraId="75E91D68">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产业行业</w:t>
            </w:r>
          </w:p>
        </w:tc>
        <w:tc>
          <w:tcPr>
            <w:tcW w:w="1417" w:type="dxa"/>
            <w:vAlign w:val="center"/>
          </w:tcPr>
          <w:p w14:paraId="477B2923">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岗位（群）</w:t>
            </w:r>
          </w:p>
        </w:tc>
        <w:tc>
          <w:tcPr>
            <w:tcW w:w="5999" w:type="dxa"/>
            <w:gridSpan w:val="3"/>
            <w:vAlign w:val="center"/>
          </w:tcPr>
          <w:p w14:paraId="773703C9">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核心能力（对应每个岗位（群），明确核心能力要求）</w:t>
            </w:r>
          </w:p>
        </w:tc>
      </w:tr>
      <w:tr w14:paraId="41AF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1526" w:type="dxa"/>
            <w:vMerge w:val="restart"/>
            <w:vAlign w:val="center"/>
          </w:tcPr>
          <w:p w14:paraId="1485FF2C">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1.现代服务业——基础性服务业——城市轨道交通运营服务；</w:t>
            </w:r>
          </w:p>
          <w:p w14:paraId="72B869F0">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2.强国建设——交通强国——城市轨道交通运营服务</w:t>
            </w:r>
          </w:p>
          <w:p w14:paraId="4E9FE85B">
            <w:pPr>
              <w:adjustRightInd w:val="0"/>
              <w:snapToGrid w:val="0"/>
              <w:spacing w:line="360" w:lineRule="auto"/>
              <w:jc w:val="center"/>
              <w:rPr>
                <w:rFonts w:hint="eastAsia" w:ascii="仿宋" w:hAnsi="仿宋" w:eastAsia="仿宋" w:cs="仿宋"/>
                <w:bCs/>
                <w:sz w:val="24"/>
              </w:rPr>
            </w:pPr>
          </w:p>
          <w:p w14:paraId="43A38222">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新职业——铁路综合维修工——城市轨道交通信号维护</w:t>
            </w:r>
          </w:p>
          <w:p w14:paraId="72C41C9A">
            <w:pPr>
              <w:adjustRightInd w:val="0"/>
              <w:snapToGrid w:val="0"/>
              <w:spacing w:line="360" w:lineRule="auto"/>
              <w:jc w:val="center"/>
              <w:rPr>
                <w:rFonts w:hint="eastAsia" w:ascii="仿宋" w:hAnsi="仿宋" w:eastAsia="仿宋" w:cs="仿宋"/>
                <w:bCs/>
                <w:sz w:val="24"/>
              </w:rPr>
            </w:pPr>
          </w:p>
          <w:p w14:paraId="5F12B5DA">
            <w:pPr>
              <w:adjustRightInd w:val="0"/>
              <w:snapToGrid w:val="0"/>
              <w:spacing w:line="360" w:lineRule="auto"/>
              <w:jc w:val="center"/>
              <w:rPr>
                <w:rFonts w:hint="eastAsia" w:ascii="仿宋" w:hAnsi="仿宋" w:eastAsia="仿宋" w:cs="仿宋"/>
                <w:bCs/>
                <w:sz w:val="24"/>
              </w:rPr>
            </w:pPr>
          </w:p>
        </w:tc>
        <w:tc>
          <w:tcPr>
            <w:tcW w:w="1417" w:type="dxa"/>
            <w:vMerge w:val="restart"/>
            <w:vAlign w:val="center"/>
          </w:tcPr>
          <w:p w14:paraId="6A95A366">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城市轨道交通车站客运服务</w:t>
            </w:r>
          </w:p>
        </w:tc>
        <w:tc>
          <w:tcPr>
            <w:tcW w:w="5999" w:type="dxa"/>
            <w:gridSpan w:val="3"/>
            <w:vAlign w:val="center"/>
          </w:tcPr>
          <w:p w14:paraId="627C14DB">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具备车站常态化客流监测及突发情况时对客流进行控制及安全疏导的能力。</w:t>
            </w:r>
          </w:p>
        </w:tc>
      </w:tr>
      <w:tr w14:paraId="5040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1526" w:type="dxa"/>
            <w:vMerge w:val="continue"/>
            <w:vAlign w:val="center"/>
          </w:tcPr>
          <w:p w14:paraId="557EE63D">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7879D9C3">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35588928">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具备站台列车接发及非正常情况下行车组织的能力。</w:t>
            </w:r>
          </w:p>
        </w:tc>
      </w:tr>
      <w:tr w14:paraId="5B48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1526" w:type="dxa"/>
            <w:vMerge w:val="continue"/>
            <w:vAlign w:val="center"/>
          </w:tcPr>
          <w:p w14:paraId="4B7222AC">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74A8F2FA">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107E6080">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具备正确使用和日常简单维护城市轨道交通车站终端设施设备的能力。</w:t>
            </w:r>
          </w:p>
        </w:tc>
      </w:tr>
      <w:tr w14:paraId="2837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1526" w:type="dxa"/>
            <w:vMerge w:val="continue"/>
            <w:vAlign w:val="center"/>
          </w:tcPr>
          <w:p w14:paraId="6EE45B36">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498C20D3">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1FD42262">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具备运用票务和行车智能化系统的能力。</w:t>
            </w:r>
          </w:p>
        </w:tc>
      </w:tr>
      <w:tr w14:paraId="055E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1526" w:type="dxa"/>
            <w:vMerge w:val="continue"/>
            <w:vAlign w:val="center"/>
          </w:tcPr>
          <w:p w14:paraId="0548FB25">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5BD77C9A">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74D408B1">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具备城市轨道交通运营服务领域数字化技能。</w:t>
            </w:r>
          </w:p>
        </w:tc>
      </w:tr>
      <w:tr w14:paraId="338B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526" w:type="dxa"/>
            <w:vMerge w:val="continue"/>
            <w:vAlign w:val="center"/>
          </w:tcPr>
          <w:p w14:paraId="6481BE9C">
            <w:pPr>
              <w:adjustRightInd w:val="0"/>
              <w:snapToGrid w:val="0"/>
              <w:spacing w:line="360" w:lineRule="auto"/>
              <w:jc w:val="center"/>
              <w:rPr>
                <w:rFonts w:hint="eastAsia" w:ascii="仿宋" w:hAnsi="仿宋" w:eastAsia="仿宋" w:cs="仿宋"/>
                <w:bCs/>
                <w:sz w:val="24"/>
              </w:rPr>
            </w:pPr>
          </w:p>
        </w:tc>
        <w:tc>
          <w:tcPr>
            <w:tcW w:w="1417" w:type="dxa"/>
            <w:vMerge w:val="restart"/>
            <w:vAlign w:val="center"/>
          </w:tcPr>
          <w:p w14:paraId="3AEF7C7B">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城市轨道信号系统维护</w:t>
            </w:r>
          </w:p>
        </w:tc>
        <w:tc>
          <w:tcPr>
            <w:tcW w:w="5999" w:type="dxa"/>
            <w:gridSpan w:val="3"/>
            <w:vAlign w:val="center"/>
          </w:tcPr>
          <w:p w14:paraId="34E1B0EC">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具备信号系统常规检修、基本故障辨识等检测能力。</w:t>
            </w:r>
          </w:p>
        </w:tc>
      </w:tr>
      <w:tr w14:paraId="1CB6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526" w:type="dxa"/>
            <w:vMerge w:val="continue"/>
            <w:vAlign w:val="center"/>
          </w:tcPr>
          <w:p w14:paraId="40B824C5">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7367604C">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5FE62F6E">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具备列车运行自动控制系统的操作、监控及简单故障处理等能力。</w:t>
            </w:r>
          </w:p>
        </w:tc>
      </w:tr>
      <w:tr w14:paraId="55F7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526" w:type="dxa"/>
            <w:vMerge w:val="continue"/>
            <w:vAlign w:val="center"/>
          </w:tcPr>
          <w:p w14:paraId="6A546251">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424CAD38">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129E177C">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具备信号系统简单故障分析、处理和基础检修能力。</w:t>
            </w:r>
          </w:p>
        </w:tc>
      </w:tr>
      <w:tr w14:paraId="2104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526" w:type="dxa"/>
            <w:vMerge w:val="continue"/>
            <w:vAlign w:val="center"/>
          </w:tcPr>
          <w:p w14:paraId="40AF3D62">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1DD2C088">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3930D269">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具备信号系统突发故障的应急处置能力。</w:t>
            </w:r>
          </w:p>
        </w:tc>
      </w:tr>
      <w:tr w14:paraId="0EAD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1526" w:type="dxa"/>
            <w:vMerge w:val="continue"/>
            <w:vAlign w:val="center"/>
          </w:tcPr>
          <w:p w14:paraId="5D89395B">
            <w:pPr>
              <w:adjustRightInd w:val="0"/>
              <w:snapToGrid w:val="0"/>
              <w:spacing w:line="360" w:lineRule="auto"/>
              <w:jc w:val="center"/>
              <w:rPr>
                <w:rFonts w:hint="eastAsia" w:ascii="仿宋" w:hAnsi="仿宋" w:eastAsia="仿宋" w:cs="仿宋"/>
                <w:bCs/>
                <w:sz w:val="24"/>
              </w:rPr>
            </w:pPr>
          </w:p>
        </w:tc>
        <w:tc>
          <w:tcPr>
            <w:tcW w:w="1417" w:type="dxa"/>
            <w:vMerge w:val="continue"/>
            <w:vAlign w:val="center"/>
          </w:tcPr>
          <w:p w14:paraId="16E694E4">
            <w:pPr>
              <w:adjustRightInd w:val="0"/>
              <w:snapToGrid w:val="0"/>
              <w:spacing w:line="360" w:lineRule="auto"/>
              <w:jc w:val="center"/>
              <w:rPr>
                <w:rFonts w:hint="eastAsia" w:ascii="仿宋" w:hAnsi="仿宋" w:eastAsia="仿宋" w:cs="仿宋"/>
                <w:bCs/>
                <w:sz w:val="24"/>
              </w:rPr>
            </w:pPr>
          </w:p>
        </w:tc>
        <w:tc>
          <w:tcPr>
            <w:tcW w:w="5999" w:type="dxa"/>
            <w:gridSpan w:val="3"/>
            <w:vAlign w:val="center"/>
          </w:tcPr>
          <w:p w14:paraId="6A8EEE39">
            <w:pPr>
              <w:adjustRightInd w:val="0"/>
              <w:snapToGrid w:val="0"/>
              <w:spacing w:line="360" w:lineRule="auto"/>
              <w:jc w:val="center"/>
              <w:rPr>
                <w:rFonts w:hint="eastAsia" w:ascii="仿宋" w:hAnsi="仿宋" w:eastAsia="仿宋" w:cs="仿宋"/>
                <w:bCs/>
                <w:sz w:val="24"/>
              </w:rPr>
            </w:pPr>
            <w:r>
              <w:rPr>
                <w:rFonts w:hint="eastAsia" w:ascii="仿宋" w:hAnsi="仿宋" w:eastAsia="仿宋" w:cs="仿宋"/>
                <w:bCs/>
                <w:sz w:val="24"/>
              </w:rPr>
              <w:t>具备城市轨道交通运输领域安全生产能力以及基本数字化信息应用的能力。</w:t>
            </w:r>
          </w:p>
        </w:tc>
      </w:tr>
    </w:tbl>
    <w:p w14:paraId="792FA272">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二、竞赛目标</w:t>
      </w:r>
    </w:p>
    <w:p w14:paraId="0ED72FC5">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通过竞赛，展示现代服务业之城市轨道交通运营服务产业，以及新职业之城市轨道交通信号维护职业等领域的职业教育改革成就以及师生技能风采；考核参赛选手在办理列车出入段等正常行车组织作业、办理信号重开等非正常行车组织作业、应急处置现场火灾等突发事件、信号系统维护和故障处理等方面的实践操作能力；同时考核参赛选手的安全生产、团队协作、规范操作、精益求精等职业素质；推动职业教育国家教学标准的落地实施，引领中等职业学校城市轨道交通运营服务、城市轨道交通信号维护专业的数字化升级和师资队伍、实训基地建设；促进城市轨道交通车站行车作业、车站突发事件应急处置、城轨信号系统操作与检测等专业课程及综合实训课程改革，落实岗课赛证综合育人、产教协同育人；助推具有工匠精神的城市轨道交通运营与维护复合型高素质技术技能人才的培养，满足城市轨道交通行业高速发展的需要，助力交通强国战略和职业教育高质量发展。</w:t>
      </w:r>
    </w:p>
    <w:p w14:paraId="5231D6AB">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三、竞赛内容</w:t>
      </w:r>
    </w:p>
    <w:p w14:paraId="617421AA">
      <w:pPr>
        <w:spacing w:line="360" w:lineRule="auto"/>
        <w:ind w:firstLine="562" w:firstLineChars="200"/>
        <w:jc w:val="both"/>
        <w:outlineLvl w:val="1"/>
        <w:rPr>
          <w:rFonts w:hint="eastAsia" w:ascii="仿宋" w:hAnsi="仿宋" w:eastAsia="仿宋" w:cs="楷体"/>
          <w:b/>
          <w:bCs/>
          <w:sz w:val="28"/>
          <w:szCs w:val="28"/>
        </w:rPr>
      </w:pPr>
      <w:r>
        <w:rPr>
          <w:rFonts w:hint="eastAsia" w:ascii="仿宋" w:hAnsi="仿宋" w:eastAsia="仿宋" w:cs="楷体"/>
          <w:b/>
          <w:bCs/>
          <w:sz w:val="28"/>
          <w:szCs w:val="28"/>
        </w:rPr>
        <w:t>（一）赛项考查的技术技能</w:t>
      </w:r>
    </w:p>
    <w:p w14:paraId="3F3C6ABF">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本赛项主要面向城市轨道交通车站客运服务和城市轨道交通信号系统维护两个职业岗位群，对接城市轨道交通服务员和轨道交通信号工两项国家职业技能标准，考核选手办理列车出入段等正常行车组织作业、办理信号重开等非正常行车组织作业、应急处置现场火灾等突发事件、信号系统维护和故障处理等方面的实践操作能力，以及安全生产、团队协作、规范操作、精益求精、劳动精神、责任担当等职业素质。</w:t>
      </w:r>
    </w:p>
    <w:p w14:paraId="2C103115">
      <w:pPr>
        <w:spacing w:line="360" w:lineRule="auto"/>
        <w:ind w:firstLine="562" w:firstLineChars="200"/>
        <w:jc w:val="both"/>
        <w:outlineLvl w:val="1"/>
        <w:rPr>
          <w:rFonts w:hint="eastAsia" w:ascii="仿宋" w:hAnsi="仿宋" w:eastAsia="仿宋" w:cs="楷体"/>
          <w:b/>
          <w:bCs/>
          <w:sz w:val="28"/>
          <w:szCs w:val="28"/>
          <w:lang w:val="en-US" w:eastAsia="zh-CN"/>
        </w:rPr>
      </w:pPr>
      <w:r>
        <w:rPr>
          <w:rFonts w:hint="eastAsia" w:ascii="仿宋" w:hAnsi="仿宋" w:eastAsia="仿宋" w:cs="楷体"/>
          <w:b/>
          <w:bCs/>
          <w:sz w:val="28"/>
          <w:szCs w:val="28"/>
        </w:rPr>
        <w:t>（二）城市轨道交通运营服务</w:t>
      </w:r>
      <w:r>
        <w:rPr>
          <w:rFonts w:hint="eastAsia" w:ascii="仿宋" w:hAnsi="仿宋" w:eastAsia="仿宋" w:cs="楷体"/>
          <w:b/>
          <w:bCs/>
          <w:sz w:val="28"/>
          <w:szCs w:val="28"/>
          <w:lang w:val="en-US" w:eastAsia="zh-CN"/>
        </w:rPr>
        <w:t>模块</w:t>
      </w:r>
    </w:p>
    <w:p w14:paraId="08F21FC4">
      <w:pPr>
        <w:spacing w:line="360" w:lineRule="auto"/>
        <w:ind w:firstLine="560" w:firstLineChars="200"/>
        <w:jc w:val="both"/>
        <w:outlineLvl w:val="1"/>
        <w:rPr>
          <w:rFonts w:hint="eastAsia" w:ascii="仿宋" w:hAnsi="仿宋" w:eastAsia="仿宋" w:cs="楷体"/>
          <w:b w:val="0"/>
          <w:bCs w:val="0"/>
          <w:sz w:val="28"/>
          <w:szCs w:val="28"/>
          <w:lang w:val="en-US" w:eastAsia="zh-CN"/>
        </w:rPr>
      </w:pPr>
      <w:r>
        <w:rPr>
          <w:rFonts w:hint="eastAsia" w:ascii="仿宋" w:hAnsi="仿宋" w:eastAsia="仿宋" w:cs="楷体"/>
          <w:b w:val="0"/>
          <w:bCs w:val="0"/>
          <w:sz w:val="28"/>
          <w:szCs w:val="28"/>
          <w:lang w:val="en-US" w:eastAsia="zh-CN"/>
        </w:rPr>
        <w:t>主要考核选手对车站布局及客流流线设计的业务技能。要求选手在60分钟内，根据给定若干车站的客流OD分布图及给定的列车运行图，在规定时间内完成车站设备布局设计及乘客流线设计。在设计完成后，统计使用设备的成本、效率、合理性以及走行流线长度等，对站内设备布局及乘客流线设计的质量进行评价。改内容都由</w:t>
      </w:r>
    </w:p>
    <w:p w14:paraId="1DCC8BAC">
      <w:pPr>
        <w:spacing w:line="360" w:lineRule="auto"/>
        <w:ind w:firstLine="560" w:firstLineChars="200"/>
        <w:jc w:val="both"/>
        <w:outlineLvl w:val="1"/>
        <w:rPr>
          <w:rFonts w:hint="eastAsia" w:ascii="仿宋" w:hAnsi="仿宋" w:eastAsia="仿宋" w:cs="楷体"/>
          <w:b w:val="0"/>
          <w:bCs w:val="0"/>
          <w:sz w:val="28"/>
          <w:szCs w:val="28"/>
          <w:lang w:val="en-US" w:eastAsia="zh-CN"/>
        </w:rPr>
      </w:pPr>
      <w:r>
        <w:rPr>
          <w:rFonts w:hint="eastAsia" w:ascii="仿宋" w:hAnsi="仿宋" w:eastAsia="仿宋" w:cs="楷体"/>
          <w:b w:val="0"/>
          <w:bCs w:val="0"/>
          <w:sz w:val="28"/>
          <w:szCs w:val="28"/>
          <w:lang w:val="en-US" w:eastAsia="zh-CN"/>
        </w:rPr>
        <w:t>在车站模式下根据给定的车站设备布局、乘客流线、运行图及客流OD量。在规定时间内，找出车站设备布局、乘客流线设计、运行图等中存在的问题，并通过相应调整来解决问题，最后撰写运营管理设计分析报告和进行合理性验证。</w:t>
      </w:r>
    </w:p>
    <w:p w14:paraId="50820D37">
      <w:pPr>
        <w:spacing w:line="360" w:lineRule="auto"/>
        <w:ind w:firstLine="562" w:firstLineChars="200"/>
        <w:jc w:val="both"/>
        <w:outlineLvl w:val="1"/>
        <w:rPr>
          <w:rFonts w:hint="eastAsia" w:ascii="仿宋" w:hAnsi="仿宋" w:eastAsia="仿宋" w:cs="楷体"/>
          <w:b/>
          <w:bCs/>
          <w:sz w:val="28"/>
          <w:szCs w:val="28"/>
        </w:rPr>
      </w:pPr>
      <w:r>
        <w:rPr>
          <w:rFonts w:hint="eastAsia" w:ascii="仿宋" w:hAnsi="仿宋" w:eastAsia="仿宋" w:cs="楷体"/>
          <w:b/>
          <w:bCs/>
          <w:sz w:val="28"/>
          <w:szCs w:val="28"/>
        </w:rPr>
        <w:t>（三）赛项竞赛内容</w:t>
      </w:r>
    </w:p>
    <w:p w14:paraId="192CB5B8">
      <w:pPr>
        <w:pStyle w:val="7"/>
        <w:spacing w:before="101" w:line="341" w:lineRule="auto"/>
        <w:ind w:firstLine="658"/>
        <w:jc w:val="both"/>
        <w:rPr>
          <w:spacing w:val="4"/>
          <w:lang w:eastAsia="zh-CN"/>
        </w:rPr>
      </w:pPr>
      <w:r>
        <w:rPr>
          <w:rFonts w:hint="eastAsia"/>
          <w:spacing w:val="4"/>
          <w:lang w:eastAsia="zh-CN"/>
        </w:rPr>
        <w:t>主要考核选手对现场信号设备故障分析与处理的业务技能。要求选手在20分钟内，根据故障现象，对转辙机控制电路的12个电路故障进行分析、判断和查找，处理结果由考核系统软件自动评分。其中，故障流程、分析部分由人工进行评分。</w:t>
      </w:r>
    </w:p>
    <w:p w14:paraId="511783CB">
      <w:pPr>
        <w:pStyle w:val="7"/>
        <w:spacing w:before="101" w:line="341" w:lineRule="auto"/>
        <w:ind w:firstLine="658"/>
        <w:jc w:val="both"/>
        <w:rPr>
          <w:spacing w:val="4"/>
          <w:lang w:eastAsia="zh-CN"/>
        </w:rPr>
      </w:pPr>
      <w:r>
        <w:rPr>
          <w:rFonts w:hint="eastAsia"/>
          <w:spacing w:val="4"/>
          <w:lang w:eastAsia="zh-CN"/>
        </w:rPr>
        <w:t>选手在进行故障检修前后，需向现场裁判办理请销点手续，要求选手办理请销点手续时用语必须规范。销点结束后，选手有5分钟的时间做好“三清”工作，同时填写《行车设备故障及突发事件登记表》，完成故障检修记录工作。</w:t>
      </w:r>
    </w:p>
    <w:p w14:paraId="7EBE67ED">
      <w:pPr>
        <w:pStyle w:val="7"/>
        <w:spacing w:before="101" w:line="341" w:lineRule="auto"/>
        <w:ind w:firstLine="658"/>
        <w:jc w:val="both"/>
        <w:rPr>
          <w:rFonts w:hint="eastAsia"/>
          <w:spacing w:val="4"/>
          <w:lang w:eastAsia="zh-CN"/>
        </w:rPr>
      </w:pPr>
      <w:r>
        <w:rPr>
          <w:rFonts w:hint="eastAsia"/>
          <w:spacing w:val="4"/>
          <w:lang w:eastAsia="zh-CN"/>
        </w:rPr>
        <w:t>两个模块的主要内容、比赛时长及及分值配比如</w:t>
      </w:r>
      <w:r>
        <w:rPr>
          <w:rFonts w:hint="eastAsia"/>
          <w:spacing w:val="4"/>
          <w:lang w:val="en-US" w:eastAsia="zh-CN"/>
        </w:rPr>
        <w:t>下</w:t>
      </w:r>
      <w:r>
        <w:rPr>
          <w:rFonts w:hint="eastAsia"/>
          <w:spacing w:val="4"/>
          <w:lang w:eastAsia="zh-CN"/>
        </w:rPr>
        <w:t>表所示。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53"/>
        <w:gridCol w:w="2415"/>
        <w:gridCol w:w="1545"/>
        <w:gridCol w:w="1467"/>
      </w:tblGrid>
      <w:tr w14:paraId="7E11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gridSpan w:val="2"/>
            <w:shd w:val="clear" w:color="auto" w:fill="auto"/>
            <w:vAlign w:val="center"/>
          </w:tcPr>
          <w:p w14:paraId="3AE19C66">
            <w:pPr>
              <w:jc w:val="center"/>
              <w:rPr>
                <w:rFonts w:hint="eastAsia" w:ascii="仿宋" w:hAnsi="仿宋" w:eastAsia="仿宋" w:cs="方正仿宋_GB2312"/>
                <w:b/>
                <w:bCs/>
                <w:kern w:val="2"/>
                <w:sz w:val="24"/>
                <w:szCs w:val="24"/>
                <w:lang w:val="en-US" w:eastAsia="zh-CN" w:bidi="ar-SA"/>
              </w:rPr>
            </w:pPr>
            <w:r>
              <w:rPr>
                <w:rFonts w:hint="eastAsia" w:ascii="仿宋" w:hAnsi="仿宋" w:eastAsia="仿宋" w:cs="方正仿宋_GB2312"/>
                <w:b/>
                <w:bCs/>
                <w:sz w:val="24"/>
              </w:rPr>
              <w:t>模块</w:t>
            </w:r>
          </w:p>
        </w:tc>
        <w:tc>
          <w:tcPr>
            <w:tcW w:w="2415" w:type="dxa"/>
            <w:shd w:val="clear" w:color="auto" w:fill="auto"/>
            <w:vAlign w:val="center"/>
          </w:tcPr>
          <w:p w14:paraId="6E5D95E5">
            <w:pPr>
              <w:jc w:val="center"/>
              <w:rPr>
                <w:rFonts w:hint="eastAsia" w:ascii="仿宋" w:hAnsi="仿宋" w:eastAsia="仿宋" w:cs="方正仿宋_GB2312"/>
                <w:b/>
                <w:bCs/>
                <w:kern w:val="2"/>
                <w:sz w:val="24"/>
                <w:szCs w:val="24"/>
                <w:lang w:val="en-US" w:eastAsia="zh-CN" w:bidi="ar-SA"/>
              </w:rPr>
            </w:pPr>
            <w:r>
              <w:rPr>
                <w:rFonts w:hint="eastAsia" w:ascii="仿宋" w:hAnsi="仿宋" w:eastAsia="仿宋" w:cs="方正仿宋_GB2312"/>
                <w:b/>
                <w:bCs/>
                <w:sz w:val="24"/>
              </w:rPr>
              <w:t>主要内容</w:t>
            </w:r>
          </w:p>
        </w:tc>
        <w:tc>
          <w:tcPr>
            <w:tcW w:w="1545" w:type="dxa"/>
            <w:shd w:val="clear" w:color="auto" w:fill="auto"/>
            <w:vAlign w:val="center"/>
          </w:tcPr>
          <w:p w14:paraId="4814412D">
            <w:pPr>
              <w:jc w:val="center"/>
              <w:rPr>
                <w:rFonts w:hint="eastAsia" w:ascii="仿宋" w:hAnsi="仿宋" w:eastAsia="仿宋" w:cs="方正仿宋_GB2312"/>
                <w:b/>
                <w:bCs/>
                <w:kern w:val="2"/>
                <w:sz w:val="24"/>
                <w:szCs w:val="24"/>
                <w:lang w:val="en-US" w:eastAsia="zh-CN" w:bidi="ar-SA"/>
              </w:rPr>
            </w:pPr>
            <w:r>
              <w:rPr>
                <w:rFonts w:hint="eastAsia" w:ascii="仿宋" w:hAnsi="仿宋" w:eastAsia="仿宋" w:cs="方正仿宋_GB2312"/>
                <w:b/>
                <w:bCs/>
                <w:sz w:val="24"/>
              </w:rPr>
              <w:t>比赛时长</w:t>
            </w:r>
          </w:p>
        </w:tc>
        <w:tc>
          <w:tcPr>
            <w:tcW w:w="1467" w:type="dxa"/>
            <w:shd w:val="clear" w:color="auto" w:fill="auto"/>
            <w:vAlign w:val="center"/>
          </w:tcPr>
          <w:p w14:paraId="39EE17BB">
            <w:pPr>
              <w:jc w:val="center"/>
              <w:rPr>
                <w:rFonts w:hint="eastAsia" w:ascii="仿宋" w:hAnsi="仿宋" w:eastAsia="仿宋" w:cs="方正仿宋_GB2312"/>
                <w:b/>
                <w:bCs/>
                <w:kern w:val="2"/>
                <w:sz w:val="24"/>
                <w:szCs w:val="24"/>
                <w:lang w:val="en-US" w:eastAsia="zh-CN" w:bidi="ar-SA"/>
              </w:rPr>
            </w:pPr>
            <w:r>
              <w:rPr>
                <w:rFonts w:hint="eastAsia" w:ascii="仿宋" w:hAnsi="仿宋" w:eastAsia="仿宋" w:cs="方正仿宋_GB2312"/>
                <w:b/>
                <w:bCs/>
                <w:sz w:val="24"/>
              </w:rPr>
              <w:t>分值</w:t>
            </w:r>
          </w:p>
        </w:tc>
      </w:tr>
      <w:tr w14:paraId="2DE9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747621B4">
            <w:pPr>
              <w:adjustRightInd w:val="0"/>
              <w:snapToGrid w:val="0"/>
              <w:spacing w:line="360" w:lineRule="auto"/>
              <w:ind w:right="210" w:rightChars="100"/>
              <w:jc w:val="center"/>
              <w:rPr>
                <w:rFonts w:hint="eastAsia" w:ascii="仿宋" w:hAnsi="仿宋" w:eastAsia="仿宋" w:cs="仿宋"/>
                <w:bCs/>
                <w:kern w:val="2"/>
                <w:sz w:val="24"/>
                <w:szCs w:val="24"/>
                <w:lang w:val="en-US" w:eastAsia="zh-CN" w:bidi="ar-SA"/>
              </w:rPr>
            </w:pPr>
            <w:r>
              <w:rPr>
                <w:rFonts w:hint="eastAsia" w:ascii="仿宋" w:hAnsi="仿宋" w:eastAsia="仿宋" w:cs="仿宋"/>
                <w:b/>
                <w:sz w:val="24"/>
              </w:rPr>
              <w:t>模块一</w:t>
            </w:r>
          </w:p>
        </w:tc>
        <w:tc>
          <w:tcPr>
            <w:tcW w:w="1853" w:type="dxa"/>
            <w:vAlign w:val="center"/>
          </w:tcPr>
          <w:p w14:paraId="4E5334ED">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城市轨道交通运营服务</w:t>
            </w:r>
          </w:p>
        </w:tc>
        <w:tc>
          <w:tcPr>
            <w:tcW w:w="2415" w:type="dxa"/>
            <w:vAlign w:val="center"/>
          </w:tcPr>
          <w:p w14:paraId="696EAE37">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车站布局及客流流线设计</w:t>
            </w:r>
          </w:p>
        </w:tc>
        <w:tc>
          <w:tcPr>
            <w:tcW w:w="1545" w:type="dxa"/>
            <w:vAlign w:val="center"/>
          </w:tcPr>
          <w:p w14:paraId="639AF023">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60分钟</w:t>
            </w:r>
          </w:p>
        </w:tc>
        <w:tc>
          <w:tcPr>
            <w:tcW w:w="1467" w:type="dxa"/>
            <w:vAlign w:val="center"/>
          </w:tcPr>
          <w:p w14:paraId="72F7F7CA">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60</w:t>
            </w:r>
          </w:p>
        </w:tc>
      </w:tr>
      <w:tr w14:paraId="7B9B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0364E06B">
            <w:pPr>
              <w:adjustRightInd w:val="0"/>
              <w:snapToGrid w:val="0"/>
              <w:spacing w:line="360" w:lineRule="auto"/>
              <w:ind w:right="210" w:rightChars="100"/>
              <w:jc w:val="center"/>
              <w:rPr>
                <w:rFonts w:hint="eastAsia" w:ascii="仿宋" w:hAnsi="仿宋" w:eastAsia="仿宋" w:cs="仿宋"/>
                <w:bCs/>
                <w:kern w:val="2"/>
                <w:sz w:val="24"/>
                <w:szCs w:val="24"/>
                <w:lang w:val="en-US" w:eastAsia="zh-CN" w:bidi="ar-SA"/>
              </w:rPr>
            </w:pPr>
            <w:r>
              <w:rPr>
                <w:rFonts w:hint="eastAsia" w:ascii="仿宋" w:hAnsi="仿宋" w:eastAsia="仿宋" w:cs="仿宋"/>
                <w:b/>
                <w:sz w:val="24"/>
              </w:rPr>
              <w:t>模块二</w:t>
            </w:r>
          </w:p>
        </w:tc>
        <w:tc>
          <w:tcPr>
            <w:tcW w:w="1853" w:type="dxa"/>
            <w:vAlign w:val="center"/>
          </w:tcPr>
          <w:p w14:paraId="640311F1">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城市轨道交通信号系统维护</w:t>
            </w:r>
          </w:p>
        </w:tc>
        <w:tc>
          <w:tcPr>
            <w:tcW w:w="2415" w:type="dxa"/>
            <w:vAlign w:val="center"/>
          </w:tcPr>
          <w:p w14:paraId="653190B9">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轨道电路故障分析与处理</w:t>
            </w:r>
          </w:p>
        </w:tc>
        <w:tc>
          <w:tcPr>
            <w:tcW w:w="1545" w:type="dxa"/>
            <w:vAlign w:val="center"/>
          </w:tcPr>
          <w:p w14:paraId="47FBA2AE">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20分钟</w:t>
            </w:r>
          </w:p>
        </w:tc>
        <w:tc>
          <w:tcPr>
            <w:tcW w:w="1467" w:type="dxa"/>
            <w:vAlign w:val="center"/>
          </w:tcPr>
          <w:p w14:paraId="50021993">
            <w:pPr>
              <w:adjustRightInd w:val="0"/>
              <w:snapToGrid w:val="0"/>
              <w:spacing w:line="360" w:lineRule="auto"/>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40</w:t>
            </w:r>
          </w:p>
        </w:tc>
      </w:tr>
    </w:tbl>
    <w:p w14:paraId="605C3C79">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四、竞赛方式</w:t>
      </w:r>
    </w:p>
    <w:p w14:paraId="7C54FCFE">
      <w:pPr>
        <w:tabs>
          <w:tab w:val="left" w:pos="7476"/>
        </w:tabs>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（一）竞赛形式 </w:t>
      </w:r>
      <w:r>
        <w:rPr>
          <w:rFonts w:hint="eastAsia" w:ascii="仿宋" w:hAnsi="仿宋" w:eastAsia="仿宋" w:cs="楷体"/>
          <w:b/>
          <w:bCs/>
          <w:sz w:val="28"/>
          <w:szCs w:val="28"/>
          <w:lang w:val="zh-CN"/>
        </w:rPr>
        <w:tab/>
      </w:r>
    </w:p>
    <w:p w14:paraId="6E6DAD1F">
      <w:pPr>
        <w:spacing w:line="360" w:lineRule="auto"/>
        <w:ind w:firstLine="560" w:firstLineChars="200"/>
        <w:jc w:val="both"/>
        <w:outlineLvl w:val="2"/>
        <w:rPr>
          <w:rFonts w:hint="eastAsia" w:ascii="仿宋" w:hAnsi="仿宋" w:eastAsia="仿宋" w:cs="微软雅黑"/>
          <w:sz w:val="28"/>
          <w:szCs w:val="28"/>
        </w:rPr>
      </w:pPr>
      <w:r>
        <w:rPr>
          <w:rFonts w:hint="eastAsia" w:ascii="仿宋" w:hAnsi="仿宋" w:eastAsia="仿宋" w:cs="微软雅黑"/>
          <w:sz w:val="28"/>
          <w:szCs w:val="28"/>
        </w:rPr>
        <w:t xml:space="preserve">竞赛形式为线下比赛。 </w:t>
      </w:r>
    </w:p>
    <w:p w14:paraId="4C9F66A3">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（二）组队方式 </w:t>
      </w:r>
    </w:p>
    <w:p w14:paraId="73B25F09">
      <w:pPr>
        <w:spacing w:line="360" w:lineRule="auto"/>
        <w:ind w:firstLine="560" w:firstLineChars="200"/>
        <w:jc w:val="both"/>
        <w:outlineLvl w:val="2"/>
        <w:rPr>
          <w:rFonts w:hint="eastAsia" w:ascii="仿宋" w:hAnsi="仿宋" w:eastAsia="仿宋" w:cs="微软雅黑"/>
          <w:color w:val="auto"/>
          <w:sz w:val="28"/>
          <w:szCs w:val="28"/>
          <w:lang w:val="en-US" w:eastAsia="zh-CN"/>
        </w:rPr>
      </w:pPr>
      <w:r>
        <w:rPr>
          <w:rFonts w:hint="eastAsia" w:ascii="仿宋" w:hAnsi="仿宋" w:eastAsia="仿宋" w:cs="微软雅黑"/>
          <w:sz w:val="28"/>
          <w:szCs w:val="28"/>
        </w:rPr>
        <w:t>本赛项为团体赛。每支参赛队由2名</w:t>
      </w:r>
      <w:r>
        <w:rPr>
          <w:rFonts w:hint="eastAsia" w:ascii="仿宋" w:hAnsi="仿宋" w:eastAsia="仿宋" w:cs="微软雅黑"/>
          <w:color w:val="auto"/>
          <w:sz w:val="28"/>
          <w:szCs w:val="28"/>
        </w:rPr>
        <w:t>比赛选手组成</w:t>
      </w:r>
      <w:r>
        <w:rPr>
          <w:rFonts w:hint="eastAsia" w:ascii="仿宋" w:hAnsi="仿宋" w:eastAsia="仿宋" w:cs="微软雅黑"/>
          <w:color w:val="auto"/>
          <w:sz w:val="28"/>
          <w:szCs w:val="28"/>
          <w:lang w:eastAsia="zh-CN"/>
        </w:rPr>
        <w:t>，</w:t>
      </w:r>
      <w:r>
        <w:rPr>
          <w:rFonts w:hint="eastAsia" w:ascii="仿宋" w:hAnsi="仿宋" w:eastAsia="仿宋" w:cs="微软雅黑"/>
          <w:color w:val="auto"/>
          <w:sz w:val="28"/>
          <w:szCs w:val="28"/>
          <w:lang w:val="en-US" w:eastAsia="zh-CN"/>
        </w:rPr>
        <w:t>每名选手可报一名指导教师</w:t>
      </w:r>
      <w:r>
        <w:rPr>
          <w:rFonts w:hint="eastAsia" w:ascii="仿宋" w:hAnsi="仿宋" w:eastAsia="仿宋" w:cs="微软雅黑"/>
          <w:color w:val="auto"/>
          <w:sz w:val="28"/>
          <w:szCs w:val="28"/>
        </w:rPr>
        <w:t xml:space="preserve">。 </w:t>
      </w:r>
      <w:r>
        <w:rPr>
          <w:rFonts w:hint="eastAsia" w:ascii="仿宋" w:hAnsi="仿宋" w:eastAsia="仿宋" w:cs="微软雅黑"/>
          <w:color w:val="auto"/>
          <w:sz w:val="28"/>
          <w:szCs w:val="28"/>
          <w:lang w:val="en-US" w:eastAsia="zh-CN"/>
        </w:rPr>
        <w:t>每个学校可以有不超过2支参赛队。</w:t>
      </w:r>
    </w:p>
    <w:p w14:paraId="07A74131">
      <w:pPr>
        <w:pStyle w:val="2"/>
        <w:rPr>
          <w:rFonts w:hint="default"/>
          <w:lang w:val="en-US" w:eastAsia="zh-CN"/>
        </w:rPr>
      </w:pPr>
      <w:bookmarkStart w:id="1" w:name="_GoBack"/>
      <w:bookmarkEnd w:id="1"/>
    </w:p>
    <w:p w14:paraId="4C909047">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（三）选手报名资格 </w:t>
      </w:r>
    </w:p>
    <w:p w14:paraId="0BB2AEAD">
      <w:pPr>
        <w:spacing w:line="360" w:lineRule="auto"/>
        <w:ind w:firstLine="560" w:firstLineChars="200"/>
        <w:jc w:val="both"/>
        <w:outlineLvl w:val="2"/>
        <w:rPr>
          <w:rFonts w:hint="eastAsia" w:ascii="仿宋" w:hAnsi="仿宋" w:eastAsia="仿宋" w:cs="微软雅黑"/>
          <w:sz w:val="28"/>
          <w:szCs w:val="28"/>
          <w:lang w:val="zh-CN"/>
        </w:rPr>
      </w:pPr>
      <w:r>
        <w:rPr>
          <w:rFonts w:hint="eastAsia" w:ascii="仿宋" w:hAnsi="仿宋" w:eastAsia="仿宋" w:cs="微软雅黑"/>
          <w:sz w:val="28"/>
          <w:szCs w:val="28"/>
        </w:rPr>
        <w:t>参赛选手必须为中等职业学校全日制在籍学生，或五年制高职一至三年级（含三年级）全日制在籍学生。选手必须来自同一所学校， 不得跨校组队。在往届全国职业院校技能大赛本赛项中获一等奖的选 手，不允许重复报名参赛。</w:t>
      </w:r>
    </w:p>
    <w:p w14:paraId="70B8317B"/>
    <w:p w14:paraId="257DF8CE">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五、竞赛流程</w:t>
      </w:r>
    </w:p>
    <w:p w14:paraId="623E4352">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（一）竞赛时间 </w:t>
      </w:r>
    </w:p>
    <w:p w14:paraId="4ADFC9F7">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 xml:space="preserve">竞赛时间为 130分钟。各参赛团队在规定的时间内，独立完成2个模块的竞赛任务。 </w:t>
      </w:r>
    </w:p>
    <w:p w14:paraId="0653D516">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（二）竞赛日程 </w:t>
      </w:r>
    </w:p>
    <w:p w14:paraId="1C03DE0C">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竞赛日程安排如表2。实际竞赛日程可根据比赛的组织需要进行适当微调。</w:t>
      </w:r>
    </w:p>
    <w:tbl>
      <w:tblPr>
        <w:tblStyle w:val="13"/>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96" w:type="dxa"/>
          <w:bottom w:w="45" w:type="dxa"/>
          <w:right w:w="96" w:type="dxa"/>
        </w:tblCellMar>
      </w:tblPr>
      <w:tblGrid>
        <w:gridCol w:w="2108"/>
        <w:gridCol w:w="2461"/>
        <w:gridCol w:w="4633"/>
      </w:tblGrid>
      <w:tr w14:paraId="398B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2108" w:type="dxa"/>
            <w:vAlign w:val="center"/>
          </w:tcPr>
          <w:p w14:paraId="25B0B56D">
            <w:pPr>
              <w:pStyle w:val="7"/>
              <w:snapToGrid w:val="0"/>
              <w:spacing w:before="101"/>
              <w:jc w:val="center"/>
              <w:rPr>
                <w:rFonts w:hint="eastAsia" w:ascii="仿宋_GB2312" w:eastAsia="仿宋_GB2312"/>
                <w:b/>
                <w:spacing w:val="4"/>
                <w:sz w:val="26"/>
                <w:szCs w:val="26"/>
                <w:lang w:eastAsia="zh-CN"/>
              </w:rPr>
            </w:pPr>
            <w:r>
              <w:rPr>
                <w:rFonts w:hint="eastAsia" w:ascii="仿宋_GB2312" w:eastAsia="仿宋_GB2312"/>
                <w:b/>
                <w:spacing w:val="4"/>
                <w:sz w:val="26"/>
                <w:szCs w:val="26"/>
                <w:lang w:val="en-US" w:eastAsia="zh-CN"/>
              </w:rPr>
              <w:t>日期</w:t>
            </w:r>
          </w:p>
        </w:tc>
        <w:tc>
          <w:tcPr>
            <w:tcW w:w="2461" w:type="dxa"/>
            <w:vAlign w:val="center"/>
          </w:tcPr>
          <w:p w14:paraId="363096E5">
            <w:pPr>
              <w:pStyle w:val="7"/>
              <w:snapToGrid w:val="0"/>
              <w:spacing w:before="101"/>
              <w:jc w:val="center"/>
              <w:rPr>
                <w:rFonts w:hint="default" w:ascii="仿宋_GB2312" w:eastAsia="仿宋_GB2312"/>
                <w:b/>
                <w:spacing w:val="4"/>
                <w:sz w:val="26"/>
                <w:szCs w:val="26"/>
                <w:lang w:val="en-US" w:eastAsia="zh-CN"/>
              </w:rPr>
            </w:pPr>
            <w:r>
              <w:rPr>
                <w:rFonts w:hint="eastAsia" w:ascii="仿宋_GB2312" w:eastAsia="仿宋_GB2312"/>
                <w:b/>
                <w:spacing w:val="4"/>
                <w:sz w:val="26"/>
                <w:szCs w:val="26"/>
                <w:lang w:val="en-US" w:eastAsia="zh-CN"/>
              </w:rPr>
              <w:t>时间</w:t>
            </w:r>
          </w:p>
        </w:tc>
        <w:tc>
          <w:tcPr>
            <w:tcW w:w="4633" w:type="dxa"/>
            <w:vAlign w:val="center"/>
          </w:tcPr>
          <w:p w14:paraId="7B7FA8E4">
            <w:pPr>
              <w:pStyle w:val="7"/>
              <w:snapToGrid w:val="0"/>
              <w:spacing w:before="101"/>
              <w:jc w:val="center"/>
              <w:rPr>
                <w:rFonts w:hint="eastAsia" w:ascii="仿宋_GB2312" w:eastAsia="仿宋_GB2312"/>
                <w:b/>
                <w:spacing w:val="4"/>
                <w:sz w:val="26"/>
                <w:szCs w:val="26"/>
                <w:lang w:eastAsia="zh-CN"/>
              </w:rPr>
            </w:pPr>
            <w:r>
              <w:rPr>
                <w:rFonts w:hint="eastAsia" w:ascii="仿宋_GB2312" w:eastAsia="仿宋_GB2312"/>
                <w:b/>
                <w:spacing w:val="4"/>
                <w:sz w:val="26"/>
                <w:szCs w:val="26"/>
                <w:lang w:eastAsia="zh-CN"/>
              </w:rPr>
              <w:t>内容</w:t>
            </w:r>
          </w:p>
        </w:tc>
      </w:tr>
      <w:tr w14:paraId="2639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restart"/>
            <w:vAlign w:val="center"/>
          </w:tcPr>
          <w:p w14:paraId="4B24DCEA">
            <w:pPr>
              <w:ind w:firstLine="240" w:firstLineChars="100"/>
              <w:jc w:val="center"/>
              <w:rPr>
                <w:rFonts w:hint="default" w:ascii="仿宋" w:hAnsi="仿宋" w:eastAsia="仿宋" w:cs="仿宋"/>
                <w:sz w:val="24"/>
                <w:lang w:val="en-US" w:eastAsia="zh-CN"/>
              </w:rPr>
            </w:pPr>
            <w:r>
              <w:rPr>
                <w:rFonts w:hint="default" w:ascii="仿宋" w:hAnsi="仿宋" w:eastAsia="仿宋" w:cs="仿宋"/>
                <w:sz w:val="24"/>
                <w:lang w:val="en-US" w:eastAsia="zh-CN"/>
              </w:rPr>
              <w:t>竞赛日</w:t>
            </w:r>
          </w:p>
        </w:tc>
        <w:tc>
          <w:tcPr>
            <w:tcW w:w="2461" w:type="dxa"/>
            <w:vAlign w:val="center"/>
          </w:tcPr>
          <w:p w14:paraId="1FA5A3FA">
            <w:pPr>
              <w:ind w:firstLine="240" w:firstLineChars="100"/>
              <w:jc w:val="center"/>
              <w:rPr>
                <w:rFonts w:hint="eastAsia" w:ascii="仿宋" w:hAnsi="仿宋" w:eastAsia="仿宋" w:cs="仿宋"/>
                <w:sz w:val="24"/>
                <w:lang w:eastAsia="zh-CN"/>
              </w:rPr>
            </w:pPr>
            <w:r>
              <w:rPr>
                <w:rFonts w:hint="eastAsia" w:ascii="仿宋" w:hAnsi="仿宋" w:eastAsia="仿宋" w:cs="仿宋"/>
                <w:sz w:val="24"/>
                <w:lang w:val="en-US" w:eastAsia="zh-CN"/>
              </w:rPr>
              <w:t>8</w:t>
            </w:r>
            <w:r>
              <w:rPr>
                <w:rFonts w:hint="eastAsia" w:ascii="仿宋" w:hAnsi="仿宋" w:eastAsia="仿宋" w:cs="仿宋"/>
                <w:sz w:val="24"/>
              </w:rPr>
              <w:t>:00-</w:t>
            </w:r>
            <w:r>
              <w:rPr>
                <w:rFonts w:hint="eastAsia" w:ascii="仿宋" w:hAnsi="仿宋" w:eastAsia="仿宋" w:cs="仿宋"/>
                <w:sz w:val="24"/>
                <w:lang w:val="en-US" w:eastAsia="zh-CN"/>
              </w:rPr>
              <w:t>9</w:t>
            </w:r>
            <w:r>
              <w:rPr>
                <w:rFonts w:hint="eastAsia" w:ascii="仿宋" w:hAnsi="仿宋" w:eastAsia="仿宋" w:cs="仿宋"/>
                <w:sz w:val="24"/>
              </w:rPr>
              <w:t>:00</w:t>
            </w:r>
          </w:p>
        </w:tc>
        <w:tc>
          <w:tcPr>
            <w:tcW w:w="4633" w:type="dxa"/>
            <w:vAlign w:val="center"/>
          </w:tcPr>
          <w:p w14:paraId="319788B4">
            <w:pPr>
              <w:ind w:firstLine="240" w:firstLineChars="100"/>
              <w:jc w:val="center"/>
              <w:rPr>
                <w:rFonts w:hint="eastAsia" w:ascii="仿宋" w:hAnsi="仿宋" w:eastAsia="仿宋" w:cs="仿宋"/>
                <w:sz w:val="24"/>
                <w:lang w:eastAsia="zh-CN"/>
              </w:rPr>
            </w:pPr>
            <w:r>
              <w:rPr>
                <w:rFonts w:hint="eastAsia" w:ascii="仿宋" w:hAnsi="仿宋" w:eastAsia="仿宋" w:cs="仿宋"/>
                <w:sz w:val="24"/>
              </w:rPr>
              <w:t>裁判报到、各参赛队伍报到</w:t>
            </w:r>
          </w:p>
        </w:tc>
      </w:tr>
      <w:tr w14:paraId="028F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continue"/>
            <w:vAlign w:val="center"/>
          </w:tcPr>
          <w:p w14:paraId="4AA5A955">
            <w:pPr>
              <w:ind w:firstLine="240" w:firstLineChars="100"/>
              <w:jc w:val="center"/>
              <w:rPr>
                <w:rFonts w:hint="eastAsia" w:ascii="仿宋" w:hAnsi="仿宋" w:eastAsia="仿宋" w:cs="仿宋"/>
                <w:sz w:val="24"/>
                <w:lang w:val="en-US" w:eastAsia="zh-CN"/>
              </w:rPr>
            </w:pPr>
          </w:p>
        </w:tc>
        <w:tc>
          <w:tcPr>
            <w:tcW w:w="2461" w:type="dxa"/>
            <w:vAlign w:val="center"/>
          </w:tcPr>
          <w:p w14:paraId="42BD2513">
            <w:pPr>
              <w:ind w:firstLine="240" w:firstLineChars="100"/>
              <w:jc w:val="center"/>
              <w:rPr>
                <w:rFonts w:hint="eastAsia" w:ascii="仿宋" w:hAnsi="仿宋" w:eastAsia="仿宋" w:cs="仿宋"/>
                <w:sz w:val="24"/>
                <w:lang w:eastAsia="zh-CN"/>
              </w:rPr>
            </w:pPr>
            <w:r>
              <w:rPr>
                <w:rFonts w:hint="eastAsia" w:ascii="仿宋" w:hAnsi="仿宋" w:eastAsia="仿宋" w:cs="仿宋"/>
                <w:sz w:val="24"/>
                <w:lang w:val="en-US" w:eastAsia="zh-CN"/>
              </w:rPr>
              <w:t>9</w:t>
            </w:r>
            <w:r>
              <w:rPr>
                <w:rFonts w:hint="eastAsia" w:ascii="仿宋" w:hAnsi="仿宋" w:eastAsia="仿宋" w:cs="仿宋"/>
                <w:sz w:val="24"/>
              </w:rPr>
              <w:t>:00-</w:t>
            </w:r>
            <w:r>
              <w:rPr>
                <w:rFonts w:hint="eastAsia" w:ascii="仿宋" w:hAnsi="仿宋" w:eastAsia="仿宋" w:cs="仿宋"/>
                <w:sz w:val="24"/>
                <w:lang w:val="en-US" w:eastAsia="zh-CN"/>
              </w:rPr>
              <w:t>9</w:t>
            </w:r>
            <w:r>
              <w:rPr>
                <w:rFonts w:hint="eastAsia" w:ascii="仿宋" w:hAnsi="仿宋" w:eastAsia="仿宋" w:cs="仿宋"/>
                <w:sz w:val="24"/>
              </w:rPr>
              <w:t>:30</w:t>
            </w:r>
          </w:p>
        </w:tc>
        <w:tc>
          <w:tcPr>
            <w:tcW w:w="4633" w:type="dxa"/>
            <w:vAlign w:val="center"/>
          </w:tcPr>
          <w:p w14:paraId="5D9FFC3B">
            <w:pPr>
              <w:ind w:firstLine="240" w:firstLineChars="100"/>
              <w:jc w:val="center"/>
              <w:rPr>
                <w:rFonts w:hint="eastAsia" w:ascii="仿宋" w:hAnsi="仿宋" w:eastAsia="仿宋" w:cs="仿宋"/>
                <w:sz w:val="24"/>
                <w:lang w:eastAsia="zh-CN"/>
              </w:rPr>
            </w:pPr>
            <w:r>
              <w:rPr>
                <w:rFonts w:hint="eastAsia" w:ascii="仿宋" w:hAnsi="仿宋" w:eastAsia="仿宋" w:cs="仿宋"/>
                <w:sz w:val="24"/>
              </w:rPr>
              <w:t>裁判会</w:t>
            </w:r>
          </w:p>
        </w:tc>
      </w:tr>
      <w:tr w14:paraId="0D2C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continue"/>
            <w:vAlign w:val="center"/>
          </w:tcPr>
          <w:p w14:paraId="35113E59">
            <w:pPr>
              <w:ind w:firstLine="240" w:firstLineChars="100"/>
              <w:jc w:val="center"/>
              <w:rPr>
                <w:rFonts w:hint="eastAsia" w:ascii="仿宋" w:hAnsi="仿宋" w:eastAsia="仿宋" w:cs="仿宋"/>
                <w:sz w:val="24"/>
                <w:lang w:val="en-US" w:eastAsia="zh-CN"/>
              </w:rPr>
            </w:pPr>
          </w:p>
        </w:tc>
        <w:tc>
          <w:tcPr>
            <w:tcW w:w="2461" w:type="dxa"/>
            <w:vAlign w:val="center"/>
          </w:tcPr>
          <w:p w14:paraId="436F7697">
            <w:pPr>
              <w:ind w:firstLine="240" w:firstLineChars="100"/>
              <w:jc w:val="center"/>
              <w:rPr>
                <w:rFonts w:hint="eastAsia" w:ascii="仿宋" w:hAnsi="仿宋" w:eastAsia="仿宋" w:cs="仿宋"/>
                <w:sz w:val="24"/>
                <w:lang w:eastAsia="zh-CN"/>
              </w:rPr>
            </w:pPr>
            <w:r>
              <w:rPr>
                <w:rFonts w:hint="eastAsia" w:ascii="仿宋" w:hAnsi="仿宋" w:eastAsia="仿宋" w:cs="仿宋"/>
                <w:sz w:val="24"/>
                <w:lang w:val="en-US" w:eastAsia="zh-CN"/>
              </w:rPr>
              <w:t>9</w:t>
            </w:r>
            <w:r>
              <w:rPr>
                <w:rFonts w:hint="eastAsia" w:ascii="仿宋" w:hAnsi="仿宋" w:eastAsia="仿宋" w:cs="仿宋"/>
                <w:sz w:val="24"/>
              </w:rPr>
              <w:t>:30-1</w:t>
            </w:r>
            <w:r>
              <w:rPr>
                <w:rFonts w:hint="eastAsia" w:ascii="仿宋" w:hAnsi="仿宋" w:eastAsia="仿宋" w:cs="仿宋"/>
                <w:sz w:val="24"/>
                <w:lang w:val="en-US" w:eastAsia="zh-CN"/>
              </w:rPr>
              <w:t>0</w:t>
            </w:r>
            <w:r>
              <w:rPr>
                <w:rFonts w:hint="eastAsia" w:ascii="仿宋" w:hAnsi="仿宋" w:eastAsia="仿宋" w:cs="仿宋"/>
                <w:sz w:val="24"/>
              </w:rPr>
              <w:t>:30</w:t>
            </w:r>
          </w:p>
        </w:tc>
        <w:tc>
          <w:tcPr>
            <w:tcW w:w="4633" w:type="dxa"/>
            <w:vAlign w:val="center"/>
          </w:tcPr>
          <w:p w14:paraId="1EC69460">
            <w:pPr>
              <w:ind w:firstLine="240" w:firstLineChars="100"/>
              <w:jc w:val="center"/>
              <w:rPr>
                <w:rFonts w:hint="eastAsia" w:ascii="仿宋" w:hAnsi="仿宋" w:eastAsia="仿宋" w:cs="仿宋"/>
                <w:sz w:val="24"/>
                <w:lang w:eastAsia="zh-CN"/>
              </w:rPr>
            </w:pPr>
            <w:r>
              <w:rPr>
                <w:rFonts w:hint="eastAsia" w:ascii="仿宋" w:hAnsi="仿宋" w:eastAsia="仿宋" w:cs="仿宋"/>
                <w:sz w:val="24"/>
              </w:rPr>
              <w:t>领队会、抽签、熟悉场地</w:t>
            </w:r>
          </w:p>
        </w:tc>
      </w:tr>
      <w:tr w14:paraId="354D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continue"/>
            <w:vAlign w:val="center"/>
          </w:tcPr>
          <w:p w14:paraId="102BFD4E">
            <w:pPr>
              <w:ind w:firstLine="240" w:firstLineChars="100"/>
              <w:jc w:val="center"/>
              <w:rPr>
                <w:rFonts w:hint="eastAsia" w:ascii="仿宋" w:hAnsi="仿宋" w:eastAsia="仿宋" w:cs="仿宋"/>
                <w:sz w:val="24"/>
                <w:lang w:val="en-US" w:eastAsia="zh-CN"/>
              </w:rPr>
            </w:pPr>
          </w:p>
        </w:tc>
        <w:tc>
          <w:tcPr>
            <w:tcW w:w="2461" w:type="dxa"/>
            <w:vAlign w:val="center"/>
          </w:tcPr>
          <w:p w14:paraId="01E5102D">
            <w:pPr>
              <w:ind w:firstLine="240" w:firstLineChars="10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0</w:t>
            </w:r>
            <w:r>
              <w:rPr>
                <w:rFonts w:hint="eastAsia" w:ascii="仿宋" w:hAnsi="仿宋" w:eastAsia="仿宋" w:cs="仿宋"/>
                <w:sz w:val="24"/>
              </w:rPr>
              <w:t>:30-1</w:t>
            </w:r>
            <w:r>
              <w:rPr>
                <w:rFonts w:hint="eastAsia" w:ascii="仿宋" w:hAnsi="仿宋" w:eastAsia="仿宋" w:cs="仿宋"/>
                <w:sz w:val="24"/>
                <w:lang w:val="en-US" w:eastAsia="zh-CN"/>
              </w:rPr>
              <w:t>0</w:t>
            </w:r>
            <w:r>
              <w:rPr>
                <w:rFonts w:hint="eastAsia" w:ascii="仿宋" w:hAnsi="仿宋" w:eastAsia="仿宋" w:cs="仿宋"/>
                <w:sz w:val="24"/>
              </w:rPr>
              <w:t>:50</w:t>
            </w:r>
          </w:p>
        </w:tc>
        <w:tc>
          <w:tcPr>
            <w:tcW w:w="4633" w:type="dxa"/>
            <w:vAlign w:val="center"/>
          </w:tcPr>
          <w:p w14:paraId="285A261B">
            <w:pPr>
              <w:ind w:firstLine="240" w:firstLineChars="100"/>
              <w:jc w:val="center"/>
              <w:rPr>
                <w:rFonts w:hint="eastAsia" w:ascii="仿宋" w:hAnsi="仿宋" w:eastAsia="仿宋" w:cs="仿宋"/>
                <w:sz w:val="24"/>
              </w:rPr>
            </w:pPr>
            <w:r>
              <w:rPr>
                <w:rFonts w:hint="eastAsia" w:ascii="仿宋" w:hAnsi="仿宋" w:eastAsia="仿宋" w:cs="仿宋"/>
                <w:sz w:val="24"/>
              </w:rPr>
              <w:t>参赛队抽签、加密</w:t>
            </w:r>
          </w:p>
        </w:tc>
      </w:tr>
      <w:tr w14:paraId="1F6B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continue"/>
            <w:vAlign w:val="center"/>
          </w:tcPr>
          <w:p w14:paraId="43EA5597">
            <w:pPr>
              <w:ind w:firstLine="240" w:firstLineChars="100"/>
              <w:jc w:val="center"/>
              <w:rPr>
                <w:rFonts w:hint="eastAsia" w:ascii="仿宋" w:hAnsi="仿宋" w:eastAsia="仿宋" w:cs="仿宋"/>
                <w:sz w:val="24"/>
                <w:lang w:val="en-US" w:eastAsia="zh-CN"/>
              </w:rPr>
            </w:pPr>
          </w:p>
        </w:tc>
        <w:tc>
          <w:tcPr>
            <w:tcW w:w="2461" w:type="dxa"/>
            <w:vAlign w:val="center"/>
          </w:tcPr>
          <w:p w14:paraId="08AA71EB">
            <w:pPr>
              <w:ind w:firstLine="240" w:firstLineChars="100"/>
              <w:jc w:val="center"/>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0</w:t>
            </w:r>
            <w:r>
              <w:rPr>
                <w:rFonts w:hint="eastAsia" w:ascii="仿宋" w:hAnsi="仿宋" w:eastAsia="仿宋" w:cs="仿宋"/>
                <w:sz w:val="24"/>
              </w:rPr>
              <w:t>0-1</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0</w:t>
            </w:r>
            <w:r>
              <w:rPr>
                <w:rFonts w:hint="eastAsia" w:ascii="仿宋" w:hAnsi="仿宋" w:eastAsia="仿宋" w:cs="仿宋"/>
                <w:sz w:val="24"/>
              </w:rPr>
              <w:t>0</w:t>
            </w:r>
          </w:p>
        </w:tc>
        <w:tc>
          <w:tcPr>
            <w:tcW w:w="4633" w:type="dxa"/>
            <w:vAlign w:val="center"/>
          </w:tcPr>
          <w:p w14:paraId="192FAC95">
            <w:pPr>
              <w:ind w:firstLine="240" w:firstLineChars="100"/>
              <w:jc w:val="center"/>
              <w:rPr>
                <w:rFonts w:hint="eastAsia" w:ascii="仿宋" w:hAnsi="仿宋" w:eastAsia="仿宋" w:cs="仿宋"/>
                <w:sz w:val="24"/>
              </w:rPr>
            </w:pPr>
            <w:r>
              <w:rPr>
                <w:rFonts w:hint="eastAsia" w:ascii="仿宋" w:hAnsi="仿宋" w:eastAsia="仿宋" w:cs="仿宋"/>
                <w:sz w:val="24"/>
                <w:lang w:val="en-US" w:eastAsia="zh-CN"/>
              </w:rPr>
              <w:t>模块一</w:t>
            </w:r>
            <w:r>
              <w:rPr>
                <w:rFonts w:hint="eastAsia" w:ascii="仿宋" w:hAnsi="仿宋" w:eastAsia="仿宋" w:cs="仿宋"/>
                <w:sz w:val="24"/>
              </w:rPr>
              <w:t>比赛</w:t>
            </w:r>
          </w:p>
        </w:tc>
      </w:tr>
      <w:tr w14:paraId="524E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2108" w:type="dxa"/>
            <w:vMerge w:val="continue"/>
            <w:vAlign w:val="center"/>
          </w:tcPr>
          <w:p w14:paraId="2BBC02CB">
            <w:pPr>
              <w:ind w:firstLine="240" w:firstLineChars="100"/>
              <w:jc w:val="center"/>
              <w:rPr>
                <w:rFonts w:hint="eastAsia" w:ascii="仿宋" w:hAnsi="仿宋" w:eastAsia="仿宋" w:cs="仿宋"/>
                <w:sz w:val="24"/>
                <w:lang w:val="en-US" w:eastAsia="zh-CN"/>
              </w:rPr>
            </w:pPr>
          </w:p>
        </w:tc>
        <w:tc>
          <w:tcPr>
            <w:tcW w:w="2461" w:type="dxa"/>
            <w:vAlign w:val="center"/>
          </w:tcPr>
          <w:p w14:paraId="4F68318E">
            <w:pPr>
              <w:ind w:firstLine="240" w:firstLineChars="10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0-1</w:t>
            </w:r>
            <w:r>
              <w:rPr>
                <w:rFonts w:hint="eastAsia" w:ascii="仿宋" w:hAnsi="仿宋" w:eastAsia="仿宋" w:cs="仿宋"/>
                <w:sz w:val="24"/>
                <w:lang w:val="en-US" w:eastAsia="zh-CN"/>
              </w:rPr>
              <w:t>7</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w:t>
            </w:r>
          </w:p>
        </w:tc>
        <w:tc>
          <w:tcPr>
            <w:tcW w:w="4633" w:type="dxa"/>
            <w:vAlign w:val="center"/>
          </w:tcPr>
          <w:p w14:paraId="79E900C0">
            <w:pPr>
              <w:ind w:firstLine="240" w:firstLineChars="100"/>
              <w:jc w:val="center"/>
              <w:rPr>
                <w:rFonts w:hint="eastAsia" w:ascii="仿宋" w:hAnsi="仿宋" w:eastAsia="仿宋" w:cs="仿宋"/>
                <w:sz w:val="24"/>
              </w:rPr>
            </w:pPr>
            <w:r>
              <w:rPr>
                <w:rFonts w:hint="eastAsia" w:ascii="仿宋" w:hAnsi="仿宋" w:eastAsia="仿宋" w:cs="仿宋"/>
                <w:sz w:val="24"/>
                <w:lang w:val="en-US" w:eastAsia="zh-CN"/>
              </w:rPr>
              <w:t>模块二</w:t>
            </w:r>
            <w:r>
              <w:rPr>
                <w:rFonts w:hint="eastAsia" w:ascii="仿宋" w:hAnsi="仿宋" w:eastAsia="仿宋" w:cs="仿宋"/>
                <w:sz w:val="24"/>
              </w:rPr>
              <w:t>比赛</w:t>
            </w:r>
          </w:p>
        </w:tc>
      </w:tr>
    </w:tbl>
    <w:p w14:paraId="13EF40C2">
      <w:pPr>
        <w:pStyle w:val="2"/>
        <w:rPr>
          <w:rFonts w:hint="eastAsia"/>
        </w:rPr>
      </w:pPr>
    </w:p>
    <w:p w14:paraId="64F34F42">
      <w:pPr>
        <w:spacing w:before="156" w:beforeLines="50" w:after="156" w:afterLines="50"/>
        <w:jc w:val="both"/>
        <w:outlineLvl w:val="0"/>
        <w:rPr>
          <w:rFonts w:hint="eastAsia" w:ascii="仿宋" w:hAnsi="仿宋" w:eastAsia="仿宋" w:cs="Times New Roman"/>
          <w:b/>
          <w:bCs/>
          <w:sz w:val="32"/>
          <w:szCs w:val="32"/>
        </w:rPr>
      </w:pPr>
      <w:r>
        <w:rPr>
          <w:rFonts w:hint="eastAsia" w:ascii="仿宋" w:hAnsi="仿宋" w:eastAsia="仿宋" w:cs="Times New Roman"/>
          <w:b/>
          <w:bCs/>
          <w:sz w:val="32"/>
          <w:szCs w:val="32"/>
        </w:rPr>
        <w:t>六、竞赛规则</w:t>
      </w:r>
    </w:p>
    <w:p w14:paraId="207265AB">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（一）选手报名</w:t>
      </w:r>
    </w:p>
    <w:p w14:paraId="2508B2E9">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请各参赛学校通过四川职业教育技能创新中心门户网站（https://sicsve.cdp.edu.cn）进行报名。</w:t>
      </w:r>
    </w:p>
    <w:p w14:paraId="110A062A">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各赛项承办单位负责按照赛项规程及相关文件审核参赛选手及指导教师信息，并做好与参赛学校对接工作，报名结束3日内将审核后信息报组委会。</w:t>
      </w:r>
    </w:p>
    <w:p w14:paraId="0649875A">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参赛队选手和指导教师原则上不再更换（含参赛选手顺序），如确因故不能参赛，学校所属教育行政主管部门须于开赛前3个工作日，出具书面说明并按承办单位要求提交变更资料和接受审核。</w:t>
      </w:r>
    </w:p>
    <w:p w14:paraId="6DE44407">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（二）熟悉场地</w:t>
      </w:r>
    </w:p>
    <w:p w14:paraId="63F91825">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参赛选手、指导教师、领队、裁判员和其他工作人员均需按照要求准时到达赛项举办地点，及时办理相关手续，领取相关证件，熟悉场地，做好赛前准备工作。</w:t>
      </w:r>
    </w:p>
    <w:p w14:paraId="33E898B2">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（三）入场规则</w:t>
      </w:r>
    </w:p>
    <w:p w14:paraId="333EEEF0">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1.检录</w:t>
      </w:r>
    </w:p>
    <w:p w14:paraId="02459324">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由检录工作人员依照检录表进行点名核对，经检查无误后向裁判长递交检录单。</w:t>
      </w:r>
    </w:p>
    <w:p w14:paraId="5B910614">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2.加密</w:t>
      </w:r>
    </w:p>
    <w:p w14:paraId="5C1702CB">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比赛当天进行两次加密，加密后参赛选手中途不得擅自离开赛场。分别由两组加密裁判组织实施加密工作，管理加密结果。监督仲裁员全程监督加密过程。</w:t>
      </w:r>
    </w:p>
    <w:p w14:paraId="03E17C6E">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3.引导</w:t>
      </w:r>
    </w:p>
    <w:p w14:paraId="26938767">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参赛选手凭赛位号进入赛场，不得携带其他显示个人身份信息和违规的物品。</w:t>
      </w:r>
    </w:p>
    <w:p w14:paraId="22279BE3">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（四）赛场规则</w:t>
      </w:r>
    </w:p>
    <w:p w14:paraId="05F545CC">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比赛现场所有参赛选手、指导教师、领队、裁判员和其他工作人员须随身携带大赛相关证件，按照赛项相关规定出入指定区域。</w:t>
      </w:r>
    </w:p>
    <w:p w14:paraId="1E94E9E1">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（五）离场规则</w:t>
      </w:r>
    </w:p>
    <w:p w14:paraId="4C42221C">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比赛结束前15分钟，裁判提示一次比赛剩余时间。比赛结束信号给出，由裁判长宣布终止比赛，选手应当听从裁判指令，停止作答，现场裁判组织、监督选手退出比赛工位，站在比赛工位边的过道上。裁判长宣布离场时，现场裁判指挥选手统一离开赛场。</w:t>
      </w:r>
    </w:p>
    <w:p w14:paraId="08914A44">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（六）成绩评定与结果公布</w:t>
      </w:r>
    </w:p>
    <w:p w14:paraId="52AF303D">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1.竞赛采用计算机和人工评分两种形式相结合进行成绩评定。 </w:t>
      </w:r>
    </w:p>
    <w:p w14:paraId="25DA635C">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2.裁判执裁必须遵守回避同区域或同单位选手的原则。 </w:t>
      </w:r>
    </w:p>
    <w:p w14:paraId="3A1B4867">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3.成绩须经复核无误后，由裁判长、监督组长审核签字，以纸质形式进行公示，公示无异议后予以公布。</w:t>
      </w:r>
    </w:p>
    <w:p w14:paraId="58461A4A">
      <w:pPr>
        <w:spacing w:line="360" w:lineRule="auto"/>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七、技术规范</w:t>
      </w:r>
    </w:p>
    <w:p w14:paraId="0C5B53CC">
      <w:pPr>
        <w:spacing w:line="360" w:lineRule="auto"/>
        <w:ind w:left="559" w:leftChars="266"/>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 xml:space="preserve">（一）国家职业技能标准 </w:t>
      </w:r>
    </w:p>
    <w:p w14:paraId="26AA64DF">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1.《城市轨道交通服务员》（职业编码：4-02-01-07） </w:t>
      </w:r>
    </w:p>
    <w:p w14:paraId="71EC757B">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2.《轨道交通调度员》（职业编码：4-02-01-06） </w:t>
      </w:r>
    </w:p>
    <w:p w14:paraId="1763F1E9">
      <w:pPr>
        <w:spacing w:line="360" w:lineRule="auto"/>
        <w:ind w:firstLine="562" w:firstLineChars="200"/>
        <w:rPr>
          <w:rFonts w:hint="eastAsia" w:ascii="仿宋" w:hAnsi="仿宋" w:eastAsia="仿宋" w:cs="微软雅黑"/>
          <w:b/>
          <w:bCs/>
          <w:sz w:val="28"/>
          <w:szCs w:val="28"/>
          <w:lang w:val="zh-CN"/>
        </w:rPr>
      </w:pPr>
      <w:r>
        <w:rPr>
          <w:rFonts w:hint="eastAsia" w:ascii="仿宋" w:hAnsi="仿宋" w:eastAsia="仿宋" w:cs="微软雅黑"/>
          <w:b/>
          <w:bCs/>
          <w:sz w:val="28"/>
          <w:szCs w:val="28"/>
          <w:lang w:val="zh-CN"/>
        </w:rPr>
        <w:t xml:space="preserve">（二）技术标准与规范 </w:t>
      </w:r>
    </w:p>
    <w:p w14:paraId="704445CB">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1.《GB/T 40484-2021 城市轨道交通消防安全管理》 </w:t>
      </w:r>
    </w:p>
    <w:p w14:paraId="703C8C70">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2.《GB/T 38707-2020 城市轨道交通运营技术规范》</w:t>
      </w:r>
    </w:p>
    <w:p w14:paraId="1F4B3435">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3.《GB/T 30012-2013 城市轨道交通运营管理规范》 </w:t>
      </w:r>
    </w:p>
    <w:p w14:paraId="231EA04C">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4.《GBT-22486-2008 城市轨道交通客运服务》 </w:t>
      </w:r>
    </w:p>
    <w:p w14:paraId="68F846EE">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5.《GB/T 33668-2017 地铁安全疏散规范》 </w:t>
      </w:r>
    </w:p>
    <w:p w14:paraId="17C60D50">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6.《GB/T50578-2018 城市轨道交通信号工程施工质量验收标准》 </w:t>
      </w:r>
    </w:p>
    <w:p w14:paraId="23F986FD">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7.《GB/T 25338.1-2010 铁路道岔转辙机（通用技术条件）》 </w:t>
      </w:r>
    </w:p>
    <w:p w14:paraId="36BC51FB">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8.《GB/T 12758-2004 城市轨道交通信号系统通用技术条件》 </w:t>
      </w:r>
    </w:p>
    <w:p w14:paraId="69653AFB">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9.《JT/T1218.1-2018 城市轨道交通运营设备维修与更新技术规范》 </w:t>
      </w:r>
    </w:p>
    <w:p w14:paraId="6B949E73">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10.《TB/T 3242-2010  LED 铁路机构通用技术条件》 </w:t>
      </w:r>
    </w:p>
    <w:p w14:paraId="02C1DD52">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11.《城市轨道交通信号系统运营技术规范（试行）》（交通运输部令2022年第1号） </w:t>
      </w:r>
    </w:p>
    <w:p w14:paraId="625432B5">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12.《城市轨道交通行车组织管理办法（交运规〔2019〕14 号）》 </w:t>
      </w:r>
    </w:p>
    <w:p w14:paraId="14D20DCF">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 xml:space="preserve">13.《城市轨道交通客运组织与服务管理办法（交运规〔2019〕15 号）》 </w:t>
      </w:r>
    </w:p>
    <w:p w14:paraId="24ED4F4D">
      <w:pPr>
        <w:spacing w:line="36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14.《城市轨道交通运营管理规定》（交通运输部令2018年第8号）</w:t>
      </w:r>
    </w:p>
    <w:p w14:paraId="1D73482E">
      <w:pPr>
        <w:spacing w:line="360" w:lineRule="auto"/>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八、技术环境</w:t>
      </w:r>
    </w:p>
    <w:p w14:paraId="050296D3">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1.场地具备满足规定数量团队的竞赛环境。</w:t>
      </w:r>
    </w:p>
    <w:p w14:paraId="58D3FA31">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2.竞赛场地为每个参赛队配备</w:t>
      </w:r>
      <w:r>
        <w:rPr>
          <w:rFonts w:hint="eastAsia" w:ascii="仿宋" w:hAnsi="仿宋" w:eastAsia="仿宋" w:cs="微软雅黑"/>
          <w:sz w:val="28"/>
          <w:szCs w:val="28"/>
          <w:lang w:val="en-US" w:eastAsia="zh-CN"/>
        </w:rPr>
        <w:t>1</w:t>
      </w:r>
      <w:r>
        <w:rPr>
          <w:rFonts w:hint="eastAsia" w:ascii="仿宋" w:hAnsi="仿宋" w:eastAsia="仿宋" w:cs="微软雅黑"/>
          <w:sz w:val="28"/>
          <w:szCs w:val="28"/>
          <w:lang w:eastAsia="zh-CN"/>
        </w:rPr>
        <w:t>个主机位及备用机位。</w:t>
      </w:r>
    </w:p>
    <w:p w14:paraId="0D6CF038">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3.竞赛场地内设置宣传物料，营造竞赛氛围。</w:t>
      </w:r>
    </w:p>
    <w:p w14:paraId="4775399F">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4.设置安全通道和警戒线，确保进入赛场的人员在安全区域内活动，以保证大赛安全有序进行。</w:t>
      </w:r>
    </w:p>
    <w:p w14:paraId="5A7B0B27">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5.考试机要求：操作系统Windows</w:t>
      </w:r>
      <w:r>
        <w:rPr>
          <w:rFonts w:hint="eastAsia" w:ascii="仿宋" w:hAnsi="仿宋" w:eastAsia="仿宋" w:cs="微软雅黑"/>
          <w:sz w:val="28"/>
          <w:szCs w:val="28"/>
          <w:lang w:val="en-US" w:eastAsia="zh-CN"/>
        </w:rPr>
        <w:t>0</w:t>
      </w:r>
      <w:r>
        <w:rPr>
          <w:rFonts w:hint="eastAsia" w:ascii="仿宋" w:hAnsi="仿宋" w:eastAsia="仿宋" w:cs="微软雅黑"/>
          <w:sz w:val="28"/>
          <w:szCs w:val="28"/>
          <w:lang w:eastAsia="zh-CN"/>
        </w:rPr>
        <w:t>及以上版本，运存16G及以上，有独立显卡，且网络网络环境为以太网。</w:t>
      </w:r>
    </w:p>
    <w:p w14:paraId="78111B4A">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val="en-US" w:eastAsia="zh-CN"/>
        </w:rPr>
        <w:t>6</w:t>
      </w:r>
      <w:r>
        <w:rPr>
          <w:rFonts w:hint="eastAsia" w:ascii="仿宋" w:hAnsi="仿宋" w:eastAsia="仿宋" w:cs="微软雅黑"/>
          <w:sz w:val="28"/>
          <w:szCs w:val="28"/>
          <w:lang w:eastAsia="zh-CN"/>
        </w:rPr>
        <w:t>.</w:t>
      </w:r>
      <w:r>
        <w:rPr>
          <w:rFonts w:hint="eastAsia" w:ascii="仿宋" w:hAnsi="仿宋" w:eastAsia="仿宋" w:cs="微软雅黑"/>
          <w:sz w:val="28"/>
          <w:szCs w:val="28"/>
          <w:lang w:val="en-US" w:eastAsia="zh-CN"/>
        </w:rPr>
        <w:t>模块二</w:t>
      </w:r>
      <w:r>
        <w:rPr>
          <w:rFonts w:hint="eastAsia" w:ascii="仿宋" w:hAnsi="仿宋" w:eastAsia="仿宋" w:cs="微软雅黑"/>
          <w:sz w:val="28"/>
          <w:szCs w:val="28"/>
          <w:lang w:eastAsia="zh-CN"/>
        </w:rPr>
        <w:t>竞赛区每个工位长5米宽3米。竞赛区的每个工位都安装交流220V、50Hz电源插座。</w:t>
      </w:r>
    </w:p>
    <w:p w14:paraId="43C0E728">
      <w:pPr>
        <w:spacing w:line="360" w:lineRule="auto"/>
        <w:jc w:val="both"/>
        <w:outlineLvl w:val="1"/>
        <w:rPr>
          <w:rFonts w:hint="eastAsia" w:ascii="仿宋" w:hAnsi="仿宋" w:eastAsia="仿宋" w:cs="楷体"/>
          <w:b/>
          <w:bCs/>
          <w:sz w:val="28"/>
          <w:szCs w:val="28"/>
          <w:lang w:val="zh-CN"/>
        </w:rPr>
      </w:pPr>
      <w:r>
        <w:rPr>
          <w:rFonts w:hint="eastAsia" w:ascii="仿宋" w:hAnsi="仿宋" w:eastAsia="仿宋" w:cs="楷体"/>
          <w:b/>
          <w:bCs/>
          <w:sz w:val="28"/>
          <w:szCs w:val="28"/>
          <w:lang w:val="zh-CN"/>
        </w:rPr>
        <w:t>九、竞赛样题</w:t>
      </w:r>
    </w:p>
    <w:p w14:paraId="14EC4F73">
      <w:pPr>
        <w:pStyle w:val="3"/>
      </w:pPr>
      <w:r>
        <w:t>模块一：</w:t>
      </w:r>
      <w:r>
        <w:rPr>
          <w:rFonts w:hint="eastAsia"/>
        </w:rPr>
        <w:t>城市轨道交通运营服务</w:t>
      </w:r>
      <w:r>
        <w:rPr>
          <w:highlight w:val="none"/>
        </w:rPr>
        <w:t>赛题</w:t>
      </w:r>
    </w:p>
    <w:p w14:paraId="756AD959">
      <w:pPr>
        <w:spacing w:line="360" w:lineRule="auto"/>
        <w:ind w:firstLine="560" w:firstLineChars="200"/>
        <w:rPr>
          <w:rFonts w:hint="eastAsia" w:ascii="仿宋" w:hAnsi="仿宋" w:eastAsia="仿宋" w:cs="微软雅黑"/>
          <w:sz w:val="28"/>
          <w:szCs w:val="28"/>
          <w:lang w:eastAsia="zh-CN"/>
        </w:rPr>
      </w:pPr>
      <w:bookmarkStart w:id="0" w:name="_Toc24154"/>
      <w:r>
        <w:rPr>
          <w:rFonts w:hint="eastAsia" w:ascii="仿宋" w:hAnsi="仿宋" w:eastAsia="仿宋" w:cs="微软雅黑"/>
          <w:sz w:val="28"/>
          <w:szCs w:val="28"/>
          <w:lang w:eastAsia="zh-CN"/>
        </w:rPr>
        <w:t>根据给定若干车站的客流OD分布图及固定给定的运行图。进行完成车站设备布局设计及乘客流线设计。在设计完成后，可以通过给定的运行图进行站内布局及乘客流线的合理验证。</w:t>
      </w:r>
    </w:p>
    <w:p w14:paraId="1F02C3F9">
      <w:pPr>
        <w:spacing w:line="360" w:lineRule="auto"/>
        <w:ind w:left="559" w:leftChars="266"/>
        <w:jc w:val="both"/>
        <w:outlineLvl w:val="1"/>
        <w:rPr>
          <w:rFonts w:hint="eastAsia" w:ascii="仿宋" w:hAnsi="仿宋" w:eastAsia="仿宋" w:cs="楷体"/>
          <w:b/>
          <w:bCs/>
          <w:sz w:val="28"/>
          <w:szCs w:val="28"/>
          <w:lang w:val="en-US" w:eastAsia="zh-CN"/>
        </w:rPr>
      </w:pPr>
      <w:r>
        <w:rPr>
          <w:rFonts w:hint="eastAsia" w:ascii="仿宋" w:hAnsi="仿宋" w:eastAsia="仿宋" w:cs="楷体"/>
          <w:b/>
          <w:bCs/>
          <w:sz w:val="28"/>
          <w:szCs w:val="28"/>
          <w:lang w:val="zh-CN" w:eastAsia="zh-CN"/>
        </w:rPr>
        <w:t>（</w:t>
      </w:r>
      <w:r>
        <w:rPr>
          <w:rFonts w:hint="eastAsia" w:ascii="仿宋" w:hAnsi="仿宋" w:eastAsia="仿宋" w:cs="楷体"/>
          <w:b/>
          <w:bCs/>
          <w:sz w:val="28"/>
          <w:szCs w:val="28"/>
          <w:lang w:val="en-US" w:eastAsia="zh-CN"/>
        </w:rPr>
        <w:t>1</w:t>
      </w:r>
      <w:r>
        <w:rPr>
          <w:rFonts w:hint="eastAsia" w:ascii="仿宋" w:hAnsi="仿宋" w:eastAsia="仿宋" w:cs="楷体"/>
          <w:b/>
          <w:bCs/>
          <w:sz w:val="28"/>
          <w:szCs w:val="28"/>
          <w:lang w:val="zh-CN" w:eastAsia="zh-CN"/>
        </w:rPr>
        <w:t>）</w:t>
      </w:r>
      <w:r>
        <w:rPr>
          <w:rFonts w:hint="eastAsia" w:ascii="仿宋" w:hAnsi="仿宋" w:eastAsia="仿宋" w:cs="楷体"/>
          <w:b/>
          <w:bCs/>
          <w:sz w:val="28"/>
          <w:szCs w:val="28"/>
          <w:lang w:val="en-US" w:eastAsia="zh-CN"/>
        </w:rPr>
        <w:t>主界面</w:t>
      </w:r>
    </w:p>
    <w:p w14:paraId="3CD5317F">
      <w:pPr>
        <w:spacing w:line="360" w:lineRule="auto"/>
        <w:ind w:firstLine="560" w:firstLineChars="200"/>
        <w:rPr>
          <w:rFonts w:hint="default" w:ascii="仿宋" w:hAnsi="仿宋" w:eastAsia="仿宋" w:cs="微软雅黑"/>
          <w:sz w:val="28"/>
          <w:szCs w:val="28"/>
          <w:lang w:val="en-US" w:eastAsia="zh-CN"/>
        </w:rPr>
      </w:pPr>
      <w:r>
        <w:rPr>
          <w:rFonts w:hint="eastAsia" w:ascii="仿宋" w:hAnsi="仿宋" w:eastAsia="仿宋" w:cs="微软雅黑"/>
          <w:sz w:val="28"/>
          <w:szCs w:val="28"/>
          <w:lang w:val="en-US" w:eastAsia="zh-CN"/>
        </w:rPr>
        <w:t>可根据不同情景模式，进行车站模式和线路模式切换，在两种不同模式下进行车站布局设计、运营设计、和运营设计问题查找与解决</w:t>
      </w:r>
    </w:p>
    <w:p w14:paraId="434A881F">
      <w:pPr>
        <w:ind w:left="0" w:leftChars="0" w:firstLine="0" w:firstLineChars="0"/>
        <w:jc w:val="center"/>
        <w:rPr>
          <w:rFonts w:hint="eastAsia"/>
          <w:lang w:eastAsia="zh-CN"/>
        </w:rPr>
      </w:pPr>
      <w:r>
        <w:rPr>
          <w:rFonts w:ascii="宋体" w:hAnsi="宋体" w:eastAsia="宋体" w:cs="宋体"/>
          <w:sz w:val="24"/>
          <w:szCs w:val="24"/>
        </w:rPr>
        <w:drawing>
          <wp:inline distT="0" distB="0" distL="114300" distR="114300">
            <wp:extent cx="4691380" cy="2637155"/>
            <wp:effectExtent l="0" t="0" r="4445" b="12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691380" cy="2637155"/>
                    </a:xfrm>
                    <a:prstGeom prst="rect">
                      <a:avLst/>
                    </a:prstGeom>
                    <a:noFill/>
                    <a:ln w="9525">
                      <a:noFill/>
                    </a:ln>
                  </pic:spPr>
                </pic:pic>
              </a:graphicData>
            </a:graphic>
          </wp:inline>
        </w:drawing>
      </w:r>
    </w:p>
    <w:p w14:paraId="53252A9C">
      <w:pPr>
        <w:spacing w:line="360" w:lineRule="auto"/>
        <w:ind w:left="559" w:leftChars="266"/>
        <w:jc w:val="both"/>
        <w:outlineLvl w:val="1"/>
        <w:rPr>
          <w:rFonts w:hint="eastAsia" w:ascii="仿宋" w:hAnsi="仿宋" w:eastAsia="仿宋" w:cs="楷体"/>
          <w:b/>
          <w:bCs/>
          <w:sz w:val="28"/>
          <w:szCs w:val="28"/>
          <w:lang w:val="zh-CN" w:eastAsia="zh-CN"/>
        </w:rPr>
      </w:pPr>
      <w:r>
        <w:rPr>
          <w:rFonts w:hint="eastAsia" w:ascii="仿宋" w:hAnsi="仿宋" w:eastAsia="仿宋" w:cs="楷体"/>
          <w:b/>
          <w:bCs/>
          <w:sz w:val="28"/>
          <w:szCs w:val="28"/>
          <w:lang w:val="zh-CN" w:eastAsia="zh-CN"/>
        </w:rPr>
        <w:t>（</w:t>
      </w:r>
      <w:r>
        <w:rPr>
          <w:rFonts w:hint="eastAsia" w:ascii="仿宋" w:hAnsi="仿宋" w:eastAsia="仿宋" w:cs="楷体"/>
          <w:b/>
          <w:bCs/>
          <w:sz w:val="28"/>
          <w:szCs w:val="28"/>
          <w:lang w:val="en-US" w:eastAsia="zh-CN"/>
        </w:rPr>
        <w:t>2</w:t>
      </w:r>
      <w:r>
        <w:rPr>
          <w:rFonts w:hint="eastAsia" w:ascii="仿宋" w:hAnsi="仿宋" w:eastAsia="仿宋" w:cs="楷体"/>
          <w:b/>
          <w:bCs/>
          <w:sz w:val="28"/>
          <w:szCs w:val="28"/>
          <w:lang w:val="zh-CN" w:eastAsia="zh-CN"/>
        </w:rPr>
        <w:t>）仿真模式选择</w:t>
      </w:r>
    </w:p>
    <w:p w14:paraId="6F726097">
      <w:pPr>
        <w:spacing w:line="360" w:lineRule="auto"/>
        <w:ind w:firstLine="560" w:firstLineChars="200"/>
        <w:rPr>
          <w:rFonts w:hint="eastAsia" w:ascii="仿宋" w:hAnsi="仿宋" w:eastAsia="仿宋" w:cs="微软雅黑"/>
          <w:sz w:val="28"/>
          <w:szCs w:val="28"/>
          <w:lang w:val="en-US" w:eastAsia="zh-CN"/>
        </w:rPr>
      </w:pPr>
      <w:r>
        <w:rPr>
          <w:rFonts w:hint="eastAsia" w:ascii="仿宋" w:hAnsi="仿宋" w:eastAsia="仿宋" w:cs="微软雅黑"/>
          <w:sz w:val="28"/>
          <w:szCs w:val="28"/>
          <w:lang w:val="en-US" w:eastAsia="zh-CN"/>
        </w:rPr>
        <w:t>在车站模式下</w:t>
      </w:r>
      <w:r>
        <w:rPr>
          <w:rFonts w:hint="eastAsia" w:ascii="仿宋" w:hAnsi="仿宋" w:eastAsia="仿宋" w:cs="微软雅黑"/>
          <w:sz w:val="28"/>
          <w:szCs w:val="28"/>
          <w:lang w:eastAsia="zh-CN"/>
        </w:rPr>
        <w:t>可根据客流需要自主设计站台，可选择岛式站台、侧式站台、混合式站台三种车站类型，</w:t>
      </w:r>
      <w:r>
        <w:rPr>
          <w:rFonts w:hint="eastAsia" w:ascii="仿宋" w:hAnsi="仿宋" w:eastAsia="仿宋" w:cs="微软雅黑"/>
          <w:sz w:val="28"/>
          <w:szCs w:val="28"/>
          <w:lang w:val="en-US" w:eastAsia="zh-CN"/>
        </w:rPr>
        <w:t>选择车站后即可进行自主设计布局。</w:t>
      </w:r>
    </w:p>
    <w:p w14:paraId="05689053">
      <w:pPr>
        <w:ind w:left="0" w:leftChars="0" w:firstLine="0" w:firstLineChars="0"/>
        <w:jc w:val="center"/>
        <w:rPr>
          <w:rFonts w:hint="eastAsia"/>
          <w:lang w:eastAsia="zh-CN"/>
        </w:rPr>
      </w:pPr>
      <w:r>
        <w:rPr>
          <w:rFonts w:hint="eastAsia"/>
          <w:lang w:eastAsia="zh-CN"/>
        </w:rPr>
        <w:drawing>
          <wp:inline distT="0" distB="0" distL="0" distR="0">
            <wp:extent cx="4585970" cy="2556510"/>
            <wp:effectExtent l="0" t="0" r="5080" b="5715"/>
            <wp:docPr id="7"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11807" cy="2571012"/>
                    </a:xfrm>
                    <a:prstGeom prst="rect">
                      <a:avLst/>
                    </a:prstGeom>
                    <a:noFill/>
                    <a:ln>
                      <a:noFill/>
                    </a:ln>
                  </pic:spPr>
                </pic:pic>
              </a:graphicData>
            </a:graphic>
          </wp:inline>
        </w:drawing>
      </w:r>
    </w:p>
    <w:p w14:paraId="6713891D">
      <w:pPr>
        <w:spacing w:line="360" w:lineRule="auto"/>
        <w:ind w:left="559" w:leftChars="266"/>
        <w:jc w:val="both"/>
        <w:outlineLvl w:val="1"/>
        <w:rPr>
          <w:rFonts w:hint="eastAsia" w:ascii="仿宋" w:hAnsi="仿宋" w:eastAsia="仿宋" w:cs="楷体"/>
          <w:b/>
          <w:bCs/>
          <w:sz w:val="28"/>
          <w:szCs w:val="28"/>
          <w:lang w:val="zh-CN" w:eastAsia="zh-CN"/>
        </w:rPr>
      </w:pPr>
      <w:r>
        <w:rPr>
          <w:rFonts w:hint="eastAsia" w:ascii="仿宋" w:hAnsi="仿宋" w:eastAsia="仿宋" w:cs="楷体"/>
          <w:b/>
          <w:bCs/>
          <w:sz w:val="28"/>
          <w:szCs w:val="28"/>
          <w:lang w:val="zh-CN" w:eastAsia="zh-CN"/>
        </w:rPr>
        <w:t>（</w:t>
      </w:r>
      <w:r>
        <w:rPr>
          <w:rFonts w:hint="eastAsia" w:ascii="仿宋" w:hAnsi="仿宋" w:eastAsia="仿宋" w:cs="楷体"/>
          <w:b/>
          <w:bCs/>
          <w:sz w:val="28"/>
          <w:szCs w:val="28"/>
          <w:lang w:val="en-US" w:eastAsia="zh-CN"/>
        </w:rPr>
        <w:t>3</w:t>
      </w:r>
      <w:r>
        <w:rPr>
          <w:rFonts w:hint="eastAsia" w:ascii="仿宋" w:hAnsi="仿宋" w:eastAsia="仿宋" w:cs="楷体"/>
          <w:b/>
          <w:bCs/>
          <w:sz w:val="28"/>
          <w:szCs w:val="28"/>
          <w:lang w:val="zh-CN" w:eastAsia="zh-CN"/>
        </w:rPr>
        <w:t>）</w:t>
      </w:r>
      <w:r>
        <w:rPr>
          <w:rFonts w:hint="eastAsia" w:ascii="仿宋" w:hAnsi="仿宋" w:eastAsia="仿宋" w:cs="楷体"/>
          <w:b/>
          <w:bCs/>
          <w:sz w:val="28"/>
          <w:szCs w:val="28"/>
          <w:lang w:val="en-US" w:eastAsia="zh-CN"/>
        </w:rPr>
        <w:t>设备摆放界面</w:t>
      </w:r>
    </w:p>
    <w:p w14:paraId="413E6874">
      <w:pPr>
        <w:spacing w:line="360" w:lineRule="auto"/>
        <w:ind w:firstLine="560" w:firstLineChars="200"/>
        <w:rPr>
          <w:rFonts w:hint="default" w:ascii="仿宋" w:hAnsi="仿宋" w:eastAsia="仿宋" w:cs="微软雅黑"/>
          <w:sz w:val="28"/>
          <w:szCs w:val="28"/>
          <w:lang w:val="en-US" w:eastAsia="zh-CN"/>
        </w:rPr>
      </w:pPr>
      <w:r>
        <w:rPr>
          <w:rFonts w:hint="eastAsia" w:ascii="仿宋" w:hAnsi="仿宋" w:eastAsia="仿宋" w:cs="微软雅黑"/>
          <w:sz w:val="28"/>
          <w:szCs w:val="28"/>
          <w:lang w:eastAsia="zh-CN"/>
        </w:rPr>
        <w:t>具有站台设备模型库，点击即可选择该设备，并可根据自主设计将该设备置于站台中任意位置。如进出</w:t>
      </w:r>
      <w:r>
        <w:rPr>
          <w:rFonts w:hint="eastAsia" w:ascii="仿宋" w:hAnsi="仿宋" w:eastAsia="仿宋" w:cs="微软雅黑"/>
          <w:sz w:val="28"/>
          <w:szCs w:val="28"/>
          <w:lang w:val="en-US" w:eastAsia="zh-CN"/>
        </w:rPr>
        <w:t>售检票设备、安全设备、问询服务设备、导向标识</w:t>
      </w:r>
      <w:r>
        <w:rPr>
          <w:rFonts w:hint="eastAsia" w:ascii="仿宋" w:hAnsi="仿宋" w:eastAsia="仿宋" w:cs="微软雅黑"/>
          <w:sz w:val="28"/>
          <w:szCs w:val="28"/>
          <w:lang w:eastAsia="zh-CN"/>
        </w:rPr>
        <w:t>等</w:t>
      </w:r>
      <w:r>
        <w:rPr>
          <w:rFonts w:hint="eastAsia" w:ascii="仿宋" w:hAnsi="仿宋" w:eastAsia="仿宋" w:cs="微软雅黑"/>
          <w:sz w:val="28"/>
          <w:szCs w:val="28"/>
          <w:lang w:val="en-US" w:eastAsia="zh-CN"/>
        </w:rPr>
        <w:t>各类设备，通过摆放自主设计站内布局。</w:t>
      </w:r>
    </w:p>
    <w:p w14:paraId="20014893">
      <w:pPr>
        <w:ind w:left="0" w:leftChars="0" w:firstLine="0" w:firstLineChars="0"/>
        <w:jc w:val="center"/>
        <w:rPr>
          <w:rFonts w:hint="eastAsia"/>
          <w:lang w:eastAsia="zh-CN"/>
        </w:rPr>
      </w:pPr>
      <w:r>
        <w:drawing>
          <wp:inline distT="0" distB="0" distL="114300" distR="114300">
            <wp:extent cx="4777105" cy="2828925"/>
            <wp:effectExtent l="0" t="0" r="444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777105" cy="2828925"/>
                    </a:xfrm>
                    <a:prstGeom prst="rect">
                      <a:avLst/>
                    </a:prstGeom>
                    <a:noFill/>
                    <a:ln>
                      <a:noFill/>
                    </a:ln>
                  </pic:spPr>
                </pic:pic>
              </a:graphicData>
            </a:graphic>
          </wp:inline>
        </w:drawing>
      </w:r>
    </w:p>
    <w:p w14:paraId="471161FB">
      <w:pPr>
        <w:spacing w:line="360" w:lineRule="auto"/>
        <w:ind w:left="559" w:leftChars="266"/>
        <w:jc w:val="both"/>
        <w:outlineLvl w:val="1"/>
        <w:rPr>
          <w:rFonts w:hint="eastAsia" w:ascii="仿宋" w:hAnsi="仿宋" w:eastAsia="仿宋" w:cs="楷体"/>
          <w:b/>
          <w:bCs/>
          <w:sz w:val="28"/>
          <w:szCs w:val="28"/>
          <w:lang w:val="en-US" w:eastAsia="zh-CN"/>
        </w:rPr>
      </w:pPr>
      <w:r>
        <w:rPr>
          <w:rFonts w:hint="eastAsia" w:ascii="仿宋" w:hAnsi="仿宋" w:eastAsia="仿宋" w:cs="楷体"/>
          <w:b/>
          <w:bCs/>
          <w:sz w:val="28"/>
          <w:szCs w:val="28"/>
          <w:lang w:val="en-US" w:eastAsia="zh-CN"/>
        </w:rPr>
        <w:t>（4）</w:t>
      </w:r>
      <w:r>
        <w:rPr>
          <w:rFonts w:hint="eastAsia" w:ascii="仿宋" w:hAnsi="仿宋" w:eastAsia="仿宋" w:cs="楷体"/>
          <w:b/>
          <w:bCs/>
          <w:sz w:val="28"/>
          <w:szCs w:val="28"/>
          <w:lang w:val="zh-CN" w:eastAsia="zh-CN"/>
        </w:rPr>
        <w:t>流线设计界</w:t>
      </w:r>
      <w:r>
        <w:rPr>
          <w:rFonts w:hint="eastAsia" w:ascii="仿宋" w:hAnsi="仿宋" w:eastAsia="仿宋" w:cs="楷体"/>
          <w:b/>
          <w:bCs/>
          <w:sz w:val="28"/>
          <w:szCs w:val="28"/>
          <w:lang w:val="en-US" w:eastAsia="zh-CN"/>
        </w:rPr>
        <w:t>面</w:t>
      </w:r>
    </w:p>
    <w:p w14:paraId="08A6CCD9">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在完成车站布局设计及设备摆放后，可以根据真实OD客流，自主设计站内乘客的行径路线，通过可视化的虚拟场景实现不同OD客流下的车站客流流线设计，用于仿真模拟站内乘客行进路径，并可输出相对应的可视化数据，用于检测设备布局、客流流线的合理性。</w:t>
      </w:r>
    </w:p>
    <w:p w14:paraId="50AEFA28">
      <w:pPr>
        <w:ind w:left="0" w:leftChars="0" w:firstLine="0" w:firstLineChars="0"/>
        <w:jc w:val="center"/>
        <w:rPr>
          <w:rFonts w:hint="eastAsia"/>
          <w:lang w:eastAsia="zh-CN"/>
        </w:rPr>
      </w:pPr>
      <w:r>
        <w:drawing>
          <wp:inline distT="0" distB="0" distL="114300" distR="114300">
            <wp:extent cx="5062220" cy="2843530"/>
            <wp:effectExtent l="0" t="0" r="508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5062220" cy="2843530"/>
                    </a:xfrm>
                    <a:prstGeom prst="rect">
                      <a:avLst/>
                    </a:prstGeom>
                    <a:noFill/>
                    <a:ln>
                      <a:noFill/>
                    </a:ln>
                  </pic:spPr>
                </pic:pic>
              </a:graphicData>
            </a:graphic>
          </wp:inline>
        </w:drawing>
      </w:r>
    </w:p>
    <w:p w14:paraId="6A4FAA39">
      <w:pPr>
        <w:spacing w:line="360" w:lineRule="auto"/>
        <w:ind w:left="559" w:leftChars="266"/>
        <w:jc w:val="both"/>
        <w:outlineLvl w:val="1"/>
        <w:rPr>
          <w:rFonts w:hint="default" w:ascii="仿宋" w:hAnsi="仿宋" w:eastAsia="仿宋" w:cs="楷体"/>
          <w:b/>
          <w:bCs/>
          <w:sz w:val="28"/>
          <w:szCs w:val="28"/>
          <w:lang w:val="en-US" w:eastAsia="zh-CN"/>
        </w:rPr>
      </w:pPr>
      <w:r>
        <w:rPr>
          <w:rFonts w:hint="eastAsia" w:ascii="仿宋" w:hAnsi="仿宋" w:eastAsia="仿宋" w:cs="楷体"/>
          <w:b/>
          <w:bCs/>
          <w:sz w:val="28"/>
          <w:szCs w:val="28"/>
          <w:lang w:val="en-US" w:eastAsia="zh-CN"/>
        </w:rPr>
        <w:t>（5）运营设计问题查找与解决</w:t>
      </w:r>
    </w:p>
    <w:p w14:paraId="2C275E5D">
      <w:pPr>
        <w:ind w:left="0" w:leftChars="0" w:firstLine="0" w:firstLineChars="0"/>
        <w:jc w:val="center"/>
        <w:rPr>
          <w:rFonts w:hint="eastAsia"/>
          <w:lang w:eastAsia="zh-CN"/>
        </w:rPr>
      </w:pPr>
      <w:r>
        <w:drawing>
          <wp:inline distT="0" distB="0" distL="114300" distR="114300">
            <wp:extent cx="5234940" cy="2930525"/>
            <wp:effectExtent l="0" t="0" r="3810" b="31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9"/>
                    <a:stretch>
                      <a:fillRect/>
                    </a:stretch>
                  </pic:blipFill>
                  <pic:spPr>
                    <a:xfrm>
                      <a:off x="0" y="0"/>
                      <a:ext cx="5234940" cy="2930525"/>
                    </a:xfrm>
                    <a:prstGeom prst="rect">
                      <a:avLst/>
                    </a:prstGeom>
                    <a:noFill/>
                    <a:ln>
                      <a:noFill/>
                    </a:ln>
                  </pic:spPr>
                </pic:pic>
              </a:graphicData>
            </a:graphic>
          </wp:inline>
        </w:drawing>
      </w:r>
    </w:p>
    <w:p w14:paraId="2054E3E1">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val="en-US" w:eastAsia="zh-CN"/>
        </w:rPr>
        <w:t>在车站模式下</w:t>
      </w:r>
      <w:r>
        <w:rPr>
          <w:rFonts w:hint="eastAsia" w:ascii="仿宋" w:hAnsi="仿宋" w:eastAsia="仿宋" w:cs="微软雅黑"/>
          <w:sz w:val="28"/>
          <w:szCs w:val="28"/>
          <w:lang w:eastAsia="zh-CN"/>
        </w:rPr>
        <w:t>根据给定的车站设备布局、乘客流线、运行图及客流OD量。在规定时间内，找出车站设备布局、乘客流线设计、运行图等中存在的问题，并通过相应调整来解决问题，最后撰写运营管理设计分析报告和进行合理性验证。</w:t>
      </w:r>
    </w:p>
    <w:p w14:paraId="7AEC9F42">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可根据列车开行计划及列车满载率、乘客舒适度以及乘客等待时间等指标自动评价该运行图，并输出相对应的表格及评分。</w:t>
      </w:r>
    </w:p>
    <w:p w14:paraId="1A364B9A">
      <w:pPr>
        <w:pStyle w:val="3"/>
        <w:rPr>
          <w:lang w:val="zh-CN"/>
        </w:rPr>
      </w:pPr>
      <w:r>
        <w:rPr>
          <w:rFonts w:hint="eastAsia"/>
          <w:lang w:val="zh-CN"/>
        </w:rPr>
        <w:t>模块二：城市轨道交通信号系统维护样题</w:t>
      </w:r>
      <w:bookmarkEnd w:id="0"/>
    </w:p>
    <w:tbl>
      <w:tblPr>
        <w:tblStyle w:val="13"/>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937"/>
        <w:gridCol w:w="2316"/>
        <w:gridCol w:w="2220"/>
        <w:gridCol w:w="1843"/>
      </w:tblGrid>
      <w:tr w14:paraId="5BC8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1D0CC14C">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模块序号</w:t>
            </w:r>
          </w:p>
        </w:tc>
        <w:tc>
          <w:tcPr>
            <w:tcW w:w="1937" w:type="dxa"/>
            <w:vAlign w:val="center"/>
          </w:tcPr>
          <w:p w14:paraId="3FA996EE">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模块2</w:t>
            </w:r>
          </w:p>
        </w:tc>
        <w:tc>
          <w:tcPr>
            <w:tcW w:w="2316" w:type="dxa"/>
            <w:vAlign w:val="center"/>
          </w:tcPr>
          <w:p w14:paraId="68100512">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对应赛项编号</w:t>
            </w:r>
          </w:p>
        </w:tc>
        <w:tc>
          <w:tcPr>
            <w:tcW w:w="4063" w:type="dxa"/>
            <w:gridSpan w:val="2"/>
            <w:vAlign w:val="center"/>
          </w:tcPr>
          <w:p w14:paraId="04B9824A">
            <w:pPr>
              <w:widowControl/>
              <w:jc w:val="left"/>
              <w:rPr>
                <w:rFonts w:hint="eastAsia" w:ascii="仿宋" w:hAnsi="仿宋" w:eastAsia="仿宋" w:cs="仿宋"/>
                <w:color w:val="000000"/>
                <w:kern w:val="0"/>
                <w:sz w:val="24"/>
                <w:lang w:val="zh-CN" w:bidi="ar"/>
              </w:rPr>
            </w:pPr>
          </w:p>
        </w:tc>
      </w:tr>
      <w:tr w14:paraId="5087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3B24B3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模块名称</w:t>
            </w:r>
          </w:p>
        </w:tc>
        <w:tc>
          <w:tcPr>
            <w:tcW w:w="1937" w:type="dxa"/>
            <w:vAlign w:val="center"/>
          </w:tcPr>
          <w:p w14:paraId="2F42977B">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城市轨道交通信号系统维护</w:t>
            </w:r>
          </w:p>
        </w:tc>
        <w:tc>
          <w:tcPr>
            <w:tcW w:w="2316" w:type="dxa"/>
            <w:vAlign w:val="center"/>
          </w:tcPr>
          <w:p w14:paraId="28BA1EE1">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子任务数量</w:t>
            </w:r>
          </w:p>
        </w:tc>
        <w:tc>
          <w:tcPr>
            <w:tcW w:w="4063" w:type="dxa"/>
            <w:gridSpan w:val="2"/>
            <w:vAlign w:val="center"/>
          </w:tcPr>
          <w:p w14:paraId="2620B9DE">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1</w:t>
            </w:r>
          </w:p>
        </w:tc>
      </w:tr>
      <w:tr w14:paraId="23D4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D62103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竞赛时间</w:t>
            </w:r>
          </w:p>
        </w:tc>
        <w:tc>
          <w:tcPr>
            <w:tcW w:w="8316" w:type="dxa"/>
            <w:gridSpan w:val="4"/>
            <w:vAlign w:val="center"/>
          </w:tcPr>
          <w:p w14:paraId="681FB7A1">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20分钟</w:t>
            </w:r>
          </w:p>
        </w:tc>
      </w:tr>
      <w:tr w14:paraId="5DA2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A4F560D">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任务描述</w:t>
            </w:r>
          </w:p>
        </w:tc>
        <w:tc>
          <w:tcPr>
            <w:tcW w:w="8316" w:type="dxa"/>
            <w:gridSpan w:val="4"/>
            <w:vAlign w:val="center"/>
          </w:tcPr>
          <w:p w14:paraId="5789D44F">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道岔动作故障分析与处理</w:t>
            </w:r>
          </w:p>
        </w:tc>
      </w:tr>
      <w:tr w14:paraId="4F79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3DDE06A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职业要素</w:t>
            </w:r>
          </w:p>
        </w:tc>
        <w:tc>
          <w:tcPr>
            <w:tcW w:w="8316" w:type="dxa"/>
            <w:gridSpan w:val="4"/>
            <w:vAlign w:val="center"/>
          </w:tcPr>
          <w:p w14:paraId="5DE5AF1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□基本专业素养 □专业实践技能    □协调协作能力    □持续发展能力</w:t>
            </w:r>
          </w:p>
        </w:tc>
      </w:tr>
      <w:tr w14:paraId="03BA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14:paraId="5ACE7CE6">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具体任务要求</w:t>
            </w:r>
          </w:p>
        </w:tc>
        <w:tc>
          <w:tcPr>
            <w:tcW w:w="1937" w:type="dxa"/>
            <w:vAlign w:val="center"/>
          </w:tcPr>
          <w:p w14:paraId="4276A371">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任务要求</w:t>
            </w:r>
          </w:p>
        </w:tc>
        <w:tc>
          <w:tcPr>
            <w:tcW w:w="2316" w:type="dxa"/>
            <w:vAlign w:val="center"/>
          </w:tcPr>
          <w:p w14:paraId="5C69015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操作过程</w:t>
            </w:r>
          </w:p>
        </w:tc>
        <w:tc>
          <w:tcPr>
            <w:tcW w:w="2220" w:type="dxa"/>
            <w:vAlign w:val="center"/>
          </w:tcPr>
          <w:p w14:paraId="43643D0B">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考核点</w:t>
            </w:r>
          </w:p>
        </w:tc>
        <w:tc>
          <w:tcPr>
            <w:tcW w:w="1843" w:type="dxa"/>
            <w:vAlign w:val="center"/>
          </w:tcPr>
          <w:p w14:paraId="7786A6CF">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评价标准</w:t>
            </w:r>
          </w:p>
        </w:tc>
      </w:tr>
      <w:tr w14:paraId="24EA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14:paraId="45932834">
            <w:pPr>
              <w:widowControl/>
              <w:jc w:val="left"/>
              <w:rPr>
                <w:rFonts w:hint="eastAsia" w:ascii="仿宋" w:hAnsi="仿宋" w:eastAsia="仿宋" w:cs="仿宋"/>
                <w:color w:val="000000"/>
                <w:kern w:val="0"/>
                <w:sz w:val="24"/>
                <w:lang w:val="zh-CN" w:bidi="ar"/>
              </w:rPr>
            </w:pPr>
          </w:p>
        </w:tc>
        <w:tc>
          <w:tcPr>
            <w:tcW w:w="1937" w:type="dxa"/>
            <w:vAlign w:val="center"/>
          </w:tcPr>
          <w:p w14:paraId="1D01EB6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道岔动作A故障分析与处理：要求选手通过相关现象判断故障设备及故障类型，选用正确的工器具进行故障排查处理</w:t>
            </w:r>
          </w:p>
        </w:tc>
        <w:tc>
          <w:tcPr>
            <w:tcW w:w="2316" w:type="dxa"/>
            <w:vAlign w:val="center"/>
          </w:tcPr>
          <w:p w14:paraId="63B33B85">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1.使用ATS软件进行转辙机‘定操’‘反操’，观察道岔显示是否正常 </w:t>
            </w:r>
          </w:p>
          <w:p w14:paraId="7F7E3E2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2.观察转辙机动作、道岔转换状态、道岔组合内继电器动作，判断并分析道岔动作故障 </w:t>
            </w:r>
          </w:p>
          <w:p w14:paraId="04435A22">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3.使用工具测试道岔组合、转辙机、分线盘、箱盒处电气特性，确认是否符合标准 </w:t>
            </w:r>
          </w:p>
          <w:p w14:paraId="4D07C07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4.检查道岔组合、转辙机、分线盘、箱盒处配线是否正确。 </w:t>
            </w:r>
          </w:p>
          <w:p w14:paraId="140B4891">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5.判断故障类型及故障点，按规定写在答题卡上或在城轨信号系统故障智能故障控制系统进行提交。</w:t>
            </w:r>
          </w:p>
          <w:p w14:paraId="625CB42B">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6.将原有配线拆除，使用红色线缆以焊接、压接方式进行故障恢复。或在故障智能故障控制系统提交故障类型及故障点，均正确后故障</w:t>
            </w:r>
          </w:p>
          <w:p w14:paraId="1978B1B6">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问题自动恢复 </w:t>
            </w:r>
          </w:p>
          <w:p w14:paraId="6DB09ED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7. 现场工器具清理</w:t>
            </w:r>
          </w:p>
        </w:tc>
        <w:tc>
          <w:tcPr>
            <w:tcW w:w="2220" w:type="dxa"/>
            <w:vAlign w:val="center"/>
          </w:tcPr>
          <w:p w14:paraId="2503BA43">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1.正确使用ATS软件进行‘定操’‘反操’。正确识别道岔组合内继电器动作 </w:t>
            </w:r>
          </w:p>
          <w:p w14:paraId="69E3E946">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2.正确测试道岔组合、转辙机、分线盘、箱盒电</w:t>
            </w:r>
          </w:p>
          <w:p w14:paraId="67791FB5">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气特性 </w:t>
            </w:r>
          </w:p>
          <w:p w14:paraId="08CBC40C">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3.正确判断故障类型及故障点，正确完成故障恢复处理，故障处理过程符合操作规范，正确配线，焊接工艺符合要求 </w:t>
            </w:r>
          </w:p>
          <w:p w14:paraId="289D3A32">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4.正确使用劳保用品、仪表、工具，正确清理现</w:t>
            </w:r>
          </w:p>
          <w:p w14:paraId="32CE473D">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场。 </w:t>
            </w:r>
          </w:p>
          <w:p w14:paraId="2BC98DF2">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5.遵守设备安全与人员安全操作规范</w:t>
            </w:r>
          </w:p>
        </w:tc>
        <w:tc>
          <w:tcPr>
            <w:tcW w:w="1843" w:type="dxa"/>
            <w:vAlign w:val="center"/>
          </w:tcPr>
          <w:p w14:paraId="595EB6C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1.正确使用ATS软件进行‘定操’‘反操。正确识别道岔组合内继电器动作（2%） </w:t>
            </w:r>
          </w:p>
          <w:p w14:paraId="3553184B">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2.正确测试道岔组合、转辙机、分线盘、箱盒电气</w:t>
            </w:r>
          </w:p>
          <w:p w14:paraId="4FD7CFD5">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特性（2%） </w:t>
            </w:r>
          </w:p>
          <w:p w14:paraId="3D65A2F0">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3.正确判断故障类型及故障点，正确完成故障恢复处理，故障处理过程符合操作规范，正确配线，焊接、压接工艺符合要求（20%） </w:t>
            </w:r>
          </w:p>
          <w:p w14:paraId="3EC1E937">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 xml:space="preserve">4.正确使用劳保用品、仪表、工具，正确清理现场（1%） </w:t>
            </w:r>
          </w:p>
          <w:p w14:paraId="6E574478">
            <w:pPr>
              <w:widowControl/>
              <w:jc w:val="left"/>
              <w:rPr>
                <w:rFonts w:hint="eastAsia" w:ascii="仿宋" w:hAnsi="仿宋" w:eastAsia="仿宋" w:cs="仿宋"/>
                <w:color w:val="000000"/>
                <w:kern w:val="0"/>
                <w:sz w:val="24"/>
                <w:lang w:val="zh-CN" w:bidi="ar"/>
              </w:rPr>
            </w:pPr>
            <w:r>
              <w:rPr>
                <w:rFonts w:hint="eastAsia" w:ascii="仿宋" w:hAnsi="仿宋" w:eastAsia="仿宋" w:cs="仿宋"/>
                <w:color w:val="000000"/>
                <w:kern w:val="0"/>
                <w:sz w:val="24"/>
                <w:lang w:val="zh-CN" w:bidi="ar"/>
              </w:rPr>
              <w:t>5.发生违反设备安全和人员安全的</w:t>
            </w:r>
          </w:p>
        </w:tc>
      </w:tr>
    </w:tbl>
    <w:p w14:paraId="6B0A3AB9">
      <w:pPr>
        <w:pStyle w:val="2"/>
        <w:rPr>
          <w:lang w:val="zh-CN"/>
        </w:rPr>
      </w:pPr>
    </w:p>
    <w:p w14:paraId="78C829FD">
      <w:pPr>
        <w:spacing w:before="156" w:beforeLines="50" w:after="156" w:afterLines="50"/>
        <w:outlineLvl w:val="0"/>
        <w:rPr>
          <w:rFonts w:ascii="仿宋" w:hAnsi="仿宋" w:eastAsia="仿宋"/>
          <w:b/>
          <w:bCs/>
          <w:sz w:val="32"/>
          <w:szCs w:val="32"/>
        </w:rPr>
      </w:pPr>
      <w:r>
        <w:rPr>
          <w:rFonts w:hint="eastAsia" w:ascii="仿宋" w:hAnsi="仿宋" w:eastAsia="仿宋"/>
          <w:b/>
          <w:bCs/>
          <w:sz w:val="32"/>
          <w:szCs w:val="32"/>
        </w:rPr>
        <w:t>十、赛项安全</w:t>
      </w:r>
    </w:p>
    <w:p w14:paraId="3925D7A2">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承办单位采取切实有效措施保证大赛期间参赛选手、指导教师、裁判员及其他工作人员的人身安全。</w:t>
      </w:r>
    </w:p>
    <w:p w14:paraId="66971B2B">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（一）比赛环境</w:t>
      </w:r>
    </w:p>
    <w:p w14:paraId="5CD7B988">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承办单位须在赛前组织专人对比赛现场环境进行考察，并对安全工作提出明确要求。赛场的布置，赛场内的器材、设备，应符合国家有关安全规定，应配置安检设备进行安检。</w:t>
      </w:r>
    </w:p>
    <w:p w14:paraId="517E8E69">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比赛现场内应为选手提供必要的用品用具。参赛选手进入赛位，严禁携带通讯、照相摄录设备，禁止携带记录用具。</w:t>
      </w:r>
    </w:p>
    <w:p w14:paraId="0464FCDC">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（二）生活条件</w:t>
      </w:r>
    </w:p>
    <w:p w14:paraId="4613F94D">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比赛期间，原则上由承办单位统一安排参赛选手饮食。承办单位须尊重少数民族的信仰及文化，安排好少数民族选手的饮食。</w:t>
      </w:r>
    </w:p>
    <w:p w14:paraId="1492262D">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（三）组队责任</w:t>
      </w:r>
    </w:p>
    <w:p w14:paraId="3A347E02">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各学校组织代表队时，须为参赛选手购买大赛期间的人身意外伤害保险。各学</w:t>
      </w:r>
      <w:r>
        <w:rPr>
          <w:rFonts w:hint="eastAsia" w:ascii="仿宋" w:hAnsi="仿宋" w:eastAsia="仿宋" w:cs="仿宋"/>
          <w:spacing w:val="-2"/>
          <w:sz w:val="28"/>
          <w:szCs w:val="28"/>
        </w:rPr>
        <w:t>校代表队组成后，须制定相关管理制度，并对所有选手、</w:t>
      </w:r>
      <w:r>
        <w:rPr>
          <w:rFonts w:hint="eastAsia" w:ascii="仿宋" w:hAnsi="仿宋" w:eastAsia="仿宋" w:cs="微软雅黑"/>
          <w:sz w:val="28"/>
          <w:szCs w:val="28"/>
        </w:rPr>
        <w:t>指导教师进行安全教育。各参赛队伍须加强对参与比赛人员的安全管理，实现与赛场安全管理的对接。</w:t>
      </w:r>
    </w:p>
    <w:p w14:paraId="1D7D73B5">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（四）应急处理</w:t>
      </w:r>
    </w:p>
    <w:p w14:paraId="68AECA14">
      <w:pPr>
        <w:spacing w:line="360" w:lineRule="auto"/>
        <w:ind w:firstLine="560" w:firstLineChars="200"/>
        <w:rPr>
          <w:rFonts w:ascii="仿宋" w:hAnsi="仿宋" w:eastAsia="仿宋" w:cs="仿宋"/>
          <w:spacing w:val="-2"/>
          <w:sz w:val="28"/>
          <w:szCs w:val="28"/>
        </w:rPr>
      </w:pPr>
      <w:r>
        <w:rPr>
          <w:rFonts w:hint="eastAsia" w:ascii="仿宋" w:hAnsi="仿宋" w:eastAsia="仿宋" w:cs="微软雅黑"/>
          <w:sz w:val="28"/>
          <w:szCs w:val="28"/>
        </w:rPr>
        <w:t>比赛期间应做好保电、消防预案工作，如发生意外事故，裁判员应立即启动预案予</w:t>
      </w:r>
      <w:r>
        <w:rPr>
          <w:rFonts w:hint="eastAsia" w:ascii="仿宋" w:hAnsi="仿宋" w:eastAsia="仿宋" w:cs="仿宋"/>
          <w:spacing w:val="-2"/>
          <w:sz w:val="28"/>
          <w:szCs w:val="28"/>
        </w:rPr>
        <w:t>以解决并报告裁判长。赛项出现重大安全问题可以停赛。</w:t>
      </w:r>
    </w:p>
    <w:p w14:paraId="7D5BD5B4">
      <w:pPr>
        <w:spacing w:before="156" w:beforeLines="50" w:after="156" w:afterLines="50"/>
        <w:outlineLvl w:val="0"/>
        <w:rPr>
          <w:rFonts w:ascii="仿宋" w:hAnsi="仿宋" w:eastAsia="仿宋"/>
          <w:b/>
          <w:bCs/>
          <w:sz w:val="32"/>
          <w:szCs w:val="32"/>
        </w:rPr>
      </w:pPr>
      <w:r>
        <w:rPr>
          <w:rFonts w:hint="eastAsia" w:ascii="仿宋" w:hAnsi="仿宋" w:eastAsia="仿宋"/>
          <w:b/>
          <w:bCs/>
          <w:sz w:val="32"/>
          <w:szCs w:val="32"/>
        </w:rPr>
        <w:t>十一、成绩评定</w:t>
      </w:r>
    </w:p>
    <w:p w14:paraId="678A43C1">
      <w:pPr>
        <w:spacing w:line="360" w:lineRule="auto"/>
        <w:ind w:firstLine="562" w:firstLineChars="200"/>
        <w:outlineLvl w:val="1"/>
      </w:pPr>
      <w:r>
        <w:rPr>
          <w:rFonts w:hint="eastAsia" w:ascii="仿宋" w:hAnsi="仿宋" w:eastAsia="仿宋" w:cs="楷体"/>
          <w:b/>
          <w:bCs/>
          <w:sz w:val="28"/>
          <w:szCs w:val="28"/>
        </w:rPr>
        <w:t>（一）评分标准制定原则</w:t>
      </w:r>
    </w:p>
    <w:p w14:paraId="2933F4D5">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1.赛项评分标准制定遵循“公平、公正、公开”的原则。</w:t>
      </w:r>
    </w:p>
    <w:p w14:paraId="249CCFEE">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2.应用信息化系统进行机考评分，无人为因素干扰。</w:t>
      </w:r>
    </w:p>
    <w:p w14:paraId="55177BDD">
      <w:pPr>
        <w:spacing w:line="360" w:lineRule="auto"/>
        <w:ind w:firstLine="562" w:firstLineChars="200"/>
        <w:outlineLvl w:val="1"/>
      </w:pPr>
      <w:r>
        <w:rPr>
          <w:rFonts w:hint="eastAsia" w:ascii="仿宋" w:hAnsi="仿宋" w:eastAsia="仿宋" w:cs="楷体"/>
          <w:b/>
          <w:bCs/>
          <w:sz w:val="28"/>
          <w:szCs w:val="28"/>
        </w:rPr>
        <w:t>（二）评分方法</w:t>
      </w:r>
    </w:p>
    <w:p w14:paraId="47B8955D">
      <w:pPr>
        <w:spacing w:line="360" w:lineRule="auto"/>
        <w:ind w:firstLine="560" w:firstLineChars="200"/>
        <w:jc w:val="both"/>
        <w:rPr>
          <w:rFonts w:hint="eastAsia" w:ascii="仿宋" w:hAnsi="仿宋" w:eastAsia="仿宋" w:cs="微软雅黑"/>
          <w:sz w:val="28"/>
          <w:szCs w:val="28"/>
          <w:lang w:eastAsia="zh-CN"/>
        </w:rPr>
      </w:pPr>
      <w:r>
        <w:rPr>
          <w:rFonts w:hint="eastAsia" w:ascii="仿宋" w:hAnsi="仿宋" w:eastAsia="仿宋" w:cs="微软雅黑"/>
          <w:sz w:val="28"/>
          <w:szCs w:val="28"/>
          <w:lang w:eastAsia="zh-CN"/>
        </w:rPr>
        <w:t>参赛队总成绩由城市轨道交通运营服务和城市轨道交通信号系统维护两部分成绩组成，满分为100分。其中城市轨道交通运营服务占</w:t>
      </w:r>
      <w:r>
        <w:rPr>
          <w:rFonts w:hint="eastAsia" w:ascii="仿宋" w:hAnsi="仿宋" w:eastAsia="仿宋" w:cs="微软雅黑"/>
          <w:sz w:val="28"/>
          <w:szCs w:val="28"/>
          <w:lang w:val="en-US" w:eastAsia="zh-CN"/>
        </w:rPr>
        <w:t>6</w:t>
      </w:r>
      <w:r>
        <w:rPr>
          <w:rFonts w:hint="eastAsia" w:ascii="仿宋" w:hAnsi="仿宋" w:eastAsia="仿宋" w:cs="微软雅黑"/>
          <w:sz w:val="28"/>
          <w:szCs w:val="28"/>
          <w:lang w:eastAsia="zh-CN"/>
        </w:rPr>
        <w:t>0%，城市轨道交通信号系统维护占</w:t>
      </w:r>
      <w:r>
        <w:rPr>
          <w:rFonts w:hint="eastAsia" w:ascii="仿宋" w:hAnsi="仿宋" w:eastAsia="仿宋" w:cs="微软雅黑"/>
          <w:sz w:val="28"/>
          <w:szCs w:val="28"/>
          <w:lang w:val="en-US" w:eastAsia="zh-CN"/>
        </w:rPr>
        <w:t>4</w:t>
      </w:r>
      <w:r>
        <w:rPr>
          <w:rFonts w:hint="eastAsia" w:ascii="仿宋" w:hAnsi="仿宋" w:eastAsia="仿宋" w:cs="微软雅黑"/>
          <w:sz w:val="28"/>
          <w:szCs w:val="28"/>
          <w:lang w:eastAsia="zh-CN"/>
        </w:rPr>
        <w:t>0%。成绩为人工评分与智能培训考核软件自动评分之和。按总成绩由高到低排序，确定所有参赛队的最终名次。遇总成绩相同者，城市轨道交通运营服务成绩高者，名次在前。</w:t>
      </w:r>
    </w:p>
    <w:p w14:paraId="6FFDAD70">
      <w:pPr>
        <w:spacing w:line="360" w:lineRule="auto"/>
        <w:ind w:firstLine="562" w:firstLineChars="200"/>
        <w:outlineLvl w:val="1"/>
        <w:rPr>
          <w:rFonts w:hint="eastAsia" w:eastAsia="仿宋"/>
        </w:rPr>
      </w:pPr>
      <w:r>
        <w:rPr>
          <w:rFonts w:hint="eastAsia" w:ascii="仿宋" w:hAnsi="仿宋" w:eastAsia="仿宋" w:cs="楷体"/>
          <w:b/>
          <w:bCs/>
          <w:sz w:val="28"/>
          <w:szCs w:val="28"/>
        </w:rPr>
        <w:t>（三）评分细则</w:t>
      </w:r>
    </w:p>
    <w:p w14:paraId="505E1420">
      <w:pPr>
        <w:spacing w:line="360" w:lineRule="auto"/>
        <w:jc w:val="both"/>
        <w:outlineLvl w:val="2"/>
        <w:rPr>
          <w:rFonts w:hint="eastAsia" w:ascii="仿宋" w:hAnsi="仿宋" w:eastAsia="仿宋" w:cs="仿宋"/>
          <w:b/>
          <w:bCs/>
          <w:sz w:val="28"/>
          <w:szCs w:val="28"/>
        </w:rPr>
      </w:pPr>
      <w:r>
        <w:rPr>
          <w:rFonts w:hint="eastAsia" w:ascii="仿宋" w:hAnsi="仿宋" w:eastAsia="仿宋" w:cs="仿宋"/>
          <w:b/>
          <w:bCs/>
          <w:sz w:val="28"/>
          <w:szCs w:val="28"/>
        </w:rPr>
        <w:t>1.</w:t>
      </w:r>
      <w:r>
        <w:rPr>
          <w:rFonts w:hint="eastAsia" w:ascii="仿宋" w:hAnsi="仿宋" w:eastAsia="仿宋" w:cs="仿宋"/>
          <w:b/>
          <w:bCs/>
          <w:sz w:val="28"/>
          <w:szCs w:val="28"/>
          <w:lang w:val="en-US" w:eastAsia="zh-CN"/>
        </w:rPr>
        <w:t>城市轨道交通运营服务</w:t>
      </w:r>
      <w:r>
        <w:rPr>
          <w:rFonts w:hint="eastAsia" w:ascii="仿宋" w:hAnsi="仿宋" w:eastAsia="仿宋" w:cs="仿宋"/>
          <w:b/>
          <w:bCs/>
          <w:sz w:val="28"/>
          <w:szCs w:val="28"/>
        </w:rPr>
        <w:t>模块评分细则</w:t>
      </w:r>
    </w:p>
    <w:tbl>
      <w:tblPr>
        <w:tblStyle w:val="18"/>
        <w:tblW w:w="94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80" w:type="dxa"/>
          <w:left w:w="128" w:type="dxa"/>
          <w:bottom w:w="80" w:type="dxa"/>
          <w:right w:w="128" w:type="dxa"/>
        </w:tblCellMar>
      </w:tblPr>
      <w:tblGrid>
        <w:gridCol w:w="733"/>
        <w:gridCol w:w="895"/>
        <w:gridCol w:w="2263"/>
        <w:gridCol w:w="5584"/>
      </w:tblGrid>
      <w:tr w14:paraId="3CD01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733" w:type="dxa"/>
            <w:vAlign w:val="center"/>
          </w:tcPr>
          <w:p w14:paraId="4343D349">
            <w:pPr>
              <w:snapToGrid w:val="0"/>
              <w:jc w:val="center"/>
              <w:rPr>
                <w:rFonts w:ascii="仿宋_GB2312" w:hAnsi="仿宋_GB2312" w:eastAsia="仿宋_GB2312" w:cs="仿宋_GB2312"/>
                <w:b/>
                <w:spacing w:val="4"/>
                <w:sz w:val="24"/>
                <w:szCs w:val="24"/>
                <w:lang w:eastAsia="zh-CN"/>
              </w:rPr>
            </w:pPr>
            <w:r>
              <w:rPr>
                <w:rFonts w:hint="eastAsia" w:ascii="仿宋_GB2312" w:hAnsi="仿宋_GB2312" w:eastAsia="仿宋_GB2312" w:cs="仿宋_GB2312"/>
                <w:b/>
                <w:spacing w:val="4"/>
                <w:sz w:val="24"/>
                <w:szCs w:val="24"/>
                <w:lang w:eastAsia="zh-CN"/>
              </w:rPr>
              <w:t>序号</w:t>
            </w:r>
          </w:p>
        </w:tc>
        <w:tc>
          <w:tcPr>
            <w:tcW w:w="895" w:type="dxa"/>
            <w:vAlign w:val="center"/>
          </w:tcPr>
          <w:p w14:paraId="30BC9E65">
            <w:pPr>
              <w:snapToGrid w:val="0"/>
              <w:jc w:val="center"/>
              <w:rPr>
                <w:rFonts w:ascii="仿宋_GB2312" w:hAnsi="仿宋_GB2312" w:eastAsia="仿宋_GB2312" w:cs="仿宋_GB2312"/>
                <w:b/>
                <w:spacing w:val="4"/>
                <w:sz w:val="24"/>
                <w:szCs w:val="24"/>
                <w:lang w:eastAsia="zh-CN"/>
              </w:rPr>
            </w:pPr>
            <w:r>
              <w:rPr>
                <w:rFonts w:hint="eastAsia" w:ascii="仿宋_GB2312" w:hAnsi="仿宋_GB2312" w:eastAsia="仿宋_GB2312" w:cs="仿宋_GB2312"/>
                <w:b/>
                <w:spacing w:val="4"/>
                <w:sz w:val="24"/>
                <w:szCs w:val="24"/>
                <w:lang w:val="en-US" w:eastAsia="zh-CN"/>
              </w:rPr>
              <w:t>任务</w:t>
            </w:r>
          </w:p>
        </w:tc>
        <w:tc>
          <w:tcPr>
            <w:tcW w:w="2263" w:type="dxa"/>
            <w:vAlign w:val="center"/>
          </w:tcPr>
          <w:p w14:paraId="415BEB94">
            <w:pPr>
              <w:snapToGrid w:val="0"/>
              <w:jc w:val="center"/>
              <w:rPr>
                <w:rFonts w:ascii="仿宋_GB2312" w:hAnsi="仿宋_GB2312" w:eastAsia="仿宋_GB2312" w:cs="仿宋_GB2312"/>
                <w:b/>
                <w:spacing w:val="4"/>
                <w:sz w:val="24"/>
                <w:szCs w:val="24"/>
                <w:lang w:eastAsia="zh-CN"/>
              </w:rPr>
            </w:pPr>
            <w:r>
              <w:rPr>
                <w:rFonts w:hint="eastAsia" w:ascii="仿宋_GB2312" w:hAnsi="仿宋_GB2312" w:eastAsia="仿宋_GB2312" w:cs="仿宋_GB2312"/>
                <w:b/>
                <w:spacing w:val="4"/>
                <w:sz w:val="24"/>
                <w:szCs w:val="24"/>
                <w:lang w:eastAsia="zh-CN"/>
              </w:rPr>
              <w:t>任务步骤及要求</w:t>
            </w:r>
          </w:p>
        </w:tc>
        <w:tc>
          <w:tcPr>
            <w:tcW w:w="5584" w:type="dxa"/>
            <w:vAlign w:val="center"/>
          </w:tcPr>
          <w:p w14:paraId="7B03D546">
            <w:pPr>
              <w:snapToGrid w:val="0"/>
              <w:jc w:val="center"/>
              <w:rPr>
                <w:rFonts w:ascii="仿宋_GB2312" w:hAnsi="仿宋_GB2312" w:eastAsia="仿宋_GB2312" w:cs="仿宋_GB2312"/>
                <w:b/>
                <w:spacing w:val="4"/>
                <w:sz w:val="24"/>
                <w:szCs w:val="24"/>
                <w:lang w:eastAsia="zh-CN"/>
              </w:rPr>
            </w:pPr>
            <w:r>
              <w:rPr>
                <w:rFonts w:hint="eastAsia" w:ascii="仿宋_GB2312" w:hAnsi="仿宋_GB2312" w:eastAsia="仿宋_GB2312" w:cs="仿宋_GB2312"/>
                <w:b/>
                <w:spacing w:val="4"/>
                <w:sz w:val="24"/>
                <w:szCs w:val="24"/>
                <w:lang w:eastAsia="zh-CN"/>
              </w:rPr>
              <w:t>评分标准</w:t>
            </w:r>
          </w:p>
        </w:tc>
      </w:tr>
      <w:tr w14:paraId="71E8F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0" w:type="dxa"/>
            <w:left w:w="128" w:type="dxa"/>
            <w:bottom w:w="80" w:type="dxa"/>
            <w:right w:w="128" w:type="dxa"/>
          </w:tblCellMar>
        </w:tblPrEx>
        <w:trPr>
          <w:trHeight w:val="0" w:hRule="atLeast"/>
          <w:jc w:val="center"/>
        </w:trPr>
        <w:tc>
          <w:tcPr>
            <w:tcW w:w="733" w:type="dxa"/>
            <w:vAlign w:val="center"/>
          </w:tcPr>
          <w:p w14:paraId="635A8AFD">
            <w:pPr>
              <w:pStyle w:val="19"/>
              <w:snapToGrid w:val="0"/>
              <w:jc w:val="center"/>
              <w:rPr>
                <w:rFonts w:ascii="仿宋_GB2312" w:hAnsi="仿宋_GB2312" w:eastAsia="仿宋_GB2312" w:cs="仿宋_GB2312"/>
                <w:spacing w:val="4"/>
                <w:sz w:val="24"/>
                <w:lang w:eastAsia="zh-CN"/>
              </w:rPr>
            </w:pPr>
            <w:r>
              <w:rPr>
                <w:rFonts w:ascii="仿宋_GB2312" w:hAnsi="仿宋_GB2312" w:eastAsia="仿宋_GB2312" w:cs="仿宋_GB2312"/>
                <w:spacing w:val="4"/>
                <w:sz w:val="24"/>
                <w:lang w:eastAsia="zh-CN"/>
              </w:rPr>
              <w:t>1</w:t>
            </w:r>
          </w:p>
        </w:tc>
        <w:tc>
          <w:tcPr>
            <w:tcW w:w="895" w:type="dxa"/>
            <w:vAlign w:val="center"/>
          </w:tcPr>
          <w:p w14:paraId="04010BE1">
            <w:pPr>
              <w:snapToGrid w:val="0"/>
              <w:jc w:val="center"/>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车站布</w:t>
            </w:r>
          </w:p>
          <w:p w14:paraId="2AEF1D28">
            <w:pPr>
              <w:snapToGrid w:val="0"/>
              <w:jc w:val="center"/>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局及客</w:t>
            </w:r>
          </w:p>
          <w:p w14:paraId="07A359E5">
            <w:pPr>
              <w:snapToGrid w:val="0"/>
              <w:jc w:val="center"/>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流流线</w:t>
            </w:r>
          </w:p>
          <w:p w14:paraId="203529FA">
            <w:pPr>
              <w:snapToGrid w:val="0"/>
              <w:jc w:val="center"/>
              <w:rPr>
                <w:rFonts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设计</w:t>
            </w:r>
          </w:p>
        </w:tc>
        <w:tc>
          <w:tcPr>
            <w:tcW w:w="2263" w:type="dxa"/>
            <w:vAlign w:val="center"/>
          </w:tcPr>
          <w:p w14:paraId="45B01BF8">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1.根据给定的客流数据、车站客运</w:t>
            </w:r>
          </w:p>
          <w:p w14:paraId="75837216">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服务要求，计算所需设备的数量、</w:t>
            </w:r>
          </w:p>
          <w:p w14:paraId="2C560E88">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型号，并确定设备摆放位置；</w:t>
            </w:r>
          </w:p>
          <w:p w14:paraId="283BD40E">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2.根据车站设备的摆放，铺画乘客</w:t>
            </w:r>
          </w:p>
          <w:p w14:paraId="2A846E0E">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的进出站流线；</w:t>
            </w:r>
          </w:p>
          <w:p w14:paraId="37671A16">
            <w:pPr>
              <w:snapToGrid w:val="0"/>
              <w:jc w:val="left"/>
              <w:rPr>
                <w:rFonts w:hint="eastAsia"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3.根据设计完成的车站进行客流仿</w:t>
            </w:r>
          </w:p>
          <w:p w14:paraId="3C0FAC8A">
            <w:pPr>
              <w:snapToGrid w:val="0"/>
              <w:jc w:val="left"/>
              <w:rPr>
                <w:rFonts w:ascii="仿宋_GB2312" w:hAnsi="仿宋_GB2312" w:eastAsia="仿宋_GB2312" w:cs="仿宋_GB2312"/>
                <w:spacing w:val="4"/>
                <w:sz w:val="24"/>
                <w:szCs w:val="24"/>
                <w:lang w:eastAsia="zh-CN"/>
              </w:rPr>
            </w:pPr>
            <w:r>
              <w:rPr>
                <w:rFonts w:hint="eastAsia" w:ascii="仿宋_GB2312" w:hAnsi="仿宋_GB2312" w:eastAsia="仿宋_GB2312" w:cs="仿宋_GB2312"/>
                <w:spacing w:val="4"/>
                <w:sz w:val="24"/>
                <w:szCs w:val="24"/>
                <w:lang w:eastAsia="zh-CN"/>
              </w:rPr>
              <w:t>真，输出成本。</w:t>
            </w:r>
          </w:p>
        </w:tc>
        <w:tc>
          <w:tcPr>
            <w:tcW w:w="5584" w:type="dxa"/>
            <w:vAlign w:val="center"/>
          </w:tcPr>
          <w:p w14:paraId="2B10D79C">
            <w:pPr>
              <w:pStyle w:val="19"/>
              <w:snapToGrid w:val="0"/>
              <w:jc w:val="left"/>
              <w:rPr>
                <w:rFonts w:ascii="仿宋_GB2312" w:hAnsi="仿宋_GB2312" w:eastAsia="仿宋_GB2312" w:cs="仿宋_GB2312"/>
                <w:spacing w:val="4"/>
                <w:sz w:val="24"/>
                <w:lang w:eastAsia="zh-CN"/>
              </w:rPr>
            </w:pPr>
            <w:r>
              <w:rPr>
                <w:rFonts w:ascii="仿宋_GB2312" w:hAnsi="仿宋_GB2312" w:eastAsia="仿宋_GB2312" w:cs="仿宋_GB2312"/>
                <w:spacing w:val="4"/>
                <w:sz w:val="24"/>
                <w:lang w:eastAsia="zh-CN"/>
              </w:rPr>
              <w:t>1.站内设备总成本核算：统计选手使用的所有设备的总成本，此处得分占比为任务1总分值的20%；（以满足任务要求且总成本最低的为基准成本，其他选手得分按照下列公式计算：得分=（基准成本/实际总成本报价）×100×20%）；</w:t>
            </w:r>
          </w:p>
          <w:p w14:paraId="645F8AB0">
            <w:pPr>
              <w:pStyle w:val="19"/>
              <w:snapToGrid w:val="0"/>
              <w:jc w:val="left"/>
              <w:rPr>
                <w:rFonts w:ascii="仿宋_GB2312" w:hAnsi="仿宋_GB2312" w:eastAsia="仿宋_GB2312" w:cs="仿宋_GB2312"/>
                <w:spacing w:val="4"/>
                <w:sz w:val="24"/>
                <w:lang w:eastAsia="zh-CN"/>
              </w:rPr>
            </w:pPr>
            <w:r>
              <w:rPr>
                <w:rFonts w:ascii="仿宋_GB2312" w:hAnsi="仿宋_GB2312" w:eastAsia="仿宋_GB2312" w:cs="仿宋_GB2312"/>
                <w:spacing w:val="4"/>
                <w:sz w:val="24"/>
                <w:lang w:eastAsia="zh-CN"/>
              </w:rPr>
              <w:t>2.车站运营指标评测标准：监测仿真过程中进/出站闸机前的等待人数（统计步长为1min），等待人数分为4个等级，分别为1-20人、21-40人、41-80人及80人以上。仿真结束后，统计每个选手仿真过程中出现的等待人数等级次数，每出现一次21-40人等级扣2分，每出现一次41-80人等级扣4分，每出现一次81人以上等级扣6分，扣完为止。此处得分占比为任务1总分值的35%（得分=（100-总扣分）×35%）；3.平均流线设计长度：以满足任务规则要求且流线设计长度最短的为基准长度，其他选手得分按照下列公式计算：得分=（基准长度/实际长度）×100×35%）。此处得分占比为任务1总分值的35%；</w:t>
            </w:r>
          </w:p>
          <w:p w14:paraId="60D01436">
            <w:pPr>
              <w:pStyle w:val="19"/>
              <w:snapToGrid w:val="0"/>
              <w:jc w:val="left"/>
              <w:rPr>
                <w:rFonts w:ascii="仿宋_GB2312" w:hAnsi="仿宋_GB2312" w:eastAsia="仿宋_GB2312" w:cs="仿宋_GB2312"/>
                <w:spacing w:val="4"/>
                <w:sz w:val="24"/>
                <w:lang w:eastAsia="zh-CN"/>
              </w:rPr>
            </w:pPr>
            <w:r>
              <w:rPr>
                <w:rFonts w:ascii="仿宋_GB2312" w:hAnsi="仿宋_GB2312" w:eastAsia="仿宋_GB2312" w:cs="仿宋_GB2312"/>
                <w:spacing w:val="4"/>
                <w:sz w:val="24"/>
                <w:lang w:eastAsia="zh-CN"/>
              </w:rPr>
              <w:t>4.设备摆放合规及美观性：统计车站内所有使用设备的摆放位置和数量，当缺少某些设备会进行相应扣分，例如未摆放防爆桶；当某些设备摆放位置不合理也会相应扣分，例如将电梯提示标志放置在进口处，分数扣完为止。此处得分占比为任务1总分值的10%。</w:t>
            </w:r>
          </w:p>
        </w:tc>
      </w:tr>
    </w:tbl>
    <w:p w14:paraId="2FF6734D">
      <w:pPr>
        <w:spacing w:line="360" w:lineRule="auto"/>
        <w:jc w:val="both"/>
        <w:outlineLvl w:val="2"/>
        <w:rPr>
          <w:rFonts w:hint="eastAsia"/>
          <w:spacing w:val="4"/>
          <w:lang w:eastAsia="zh-CN"/>
        </w:rPr>
      </w:pPr>
      <w:r>
        <w:rPr>
          <w:rFonts w:hint="eastAsia" w:ascii="仿宋" w:hAnsi="仿宋" w:eastAsia="仿宋" w:cs="仿宋"/>
          <w:b/>
          <w:bCs/>
          <w:sz w:val="28"/>
          <w:szCs w:val="28"/>
        </w:rPr>
        <w:t>1.城市轨道交通信号系统维护模块评分细则</w:t>
      </w:r>
    </w:p>
    <w:tbl>
      <w:tblPr>
        <w:tblStyle w:val="18"/>
        <w:tblW w:w="94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088"/>
        <w:gridCol w:w="2126"/>
        <w:gridCol w:w="851"/>
        <w:gridCol w:w="3544"/>
        <w:gridCol w:w="1134"/>
      </w:tblGrid>
      <w:tr w14:paraId="3839A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jc w:val="center"/>
        </w:trPr>
        <w:tc>
          <w:tcPr>
            <w:tcW w:w="756" w:type="dxa"/>
            <w:vAlign w:val="center"/>
          </w:tcPr>
          <w:p w14:paraId="03D0347F">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序号</w:t>
            </w:r>
          </w:p>
        </w:tc>
        <w:tc>
          <w:tcPr>
            <w:tcW w:w="1088" w:type="dxa"/>
            <w:vAlign w:val="center"/>
          </w:tcPr>
          <w:p w14:paraId="30060896">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作业程序</w:t>
            </w:r>
          </w:p>
        </w:tc>
        <w:tc>
          <w:tcPr>
            <w:tcW w:w="2126" w:type="dxa"/>
            <w:vAlign w:val="center"/>
          </w:tcPr>
          <w:p w14:paraId="7247B846">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作业内容</w:t>
            </w:r>
          </w:p>
        </w:tc>
        <w:tc>
          <w:tcPr>
            <w:tcW w:w="851" w:type="dxa"/>
            <w:vAlign w:val="center"/>
          </w:tcPr>
          <w:p w14:paraId="528A0FB5">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配分</w:t>
            </w:r>
          </w:p>
        </w:tc>
        <w:tc>
          <w:tcPr>
            <w:tcW w:w="3544" w:type="dxa"/>
            <w:vAlign w:val="center"/>
          </w:tcPr>
          <w:p w14:paraId="4B7F1ED2">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评分标准</w:t>
            </w:r>
          </w:p>
        </w:tc>
        <w:tc>
          <w:tcPr>
            <w:tcW w:w="1134" w:type="dxa"/>
            <w:vAlign w:val="center"/>
          </w:tcPr>
          <w:p w14:paraId="456A09A1">
            <w:pPr>
              <w:jc w:val="center"/>
              <w:rPr>
                <w:rFonts w:ascii="仿宋_GB2312" w:hAnsi="仿宋_GB2312" w:eastAsia="仿宋_GB2312" w:cs="仿宋_GB2312"/>
                <w:b/>
                <w:bCs/>
                <w:spacing w:val="4"/>
                <w:sz w:val="24"/>
                <w:szCs w:val="24"/>
                <w:lang w:eastAsia="zh-CN"/>
              </w:rPr>
            </w:pPr>
            <w:r>
              <w:rPr>
                <w:rFonts w:ascii="仿宋_GB2312" w:hAnsi="仿宋_GB2312" w:eastAsia="仿宋_GB2312" w:cs="仿宋_GB2312"/>
                <w:b/>
                <w:bCs/>
                <w:spacing w:val="4"/>
                <w:sz w:val="24"/>
                <w:szCs w:val="24"/>
                <w:lang w:eastAsia="zh-CN"/>
              </w:rPr>
              <w:t>评分方式</w:t>
            </w:r>
          </w:p>
        </w:tc>
      </w:tr>
      <w:tr w14:paraId="3E33D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756" w:type="dxa"/>
          </w:tcPr>
          <w:p w14:paraId="112AC8F2">
            <w:pPr>
              <w:jc w:val="center"/>
              <w:rPr>
                <w:rFonts w:ascii="仿宋_GB2312" w:hAnsi="仿宋_GB2312" w:eastAsia="仿宋_GB2312" w:cs="仿宋_GB2312"/>
                <w:spacing w:val="4"/>
                <w:sz w:val="24"/>
                <w:szCs w:val="24"/>
                <w:lang w:eastAsia="zh-CN"/>
              </w:rPr>
            </w:pPr>
          </w:p>
          <w:p w14:paraId="730990D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w:t>
            </w:r>
          </w:p>
        </w:tc>
        <w:tc>
          <w:tcPr>
            <w:tcW w:w="1088" w:type="dxa"/>
          </w:tcPr>
          <w:p w14:paraId="3E5FCE25">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准备工器具和材料</w:t>
            </w:r>
          </w:p>
        </w:tc>
        <w:tc>
          <w:tcPr>
            <w:tcW w:w="2126" w:type="dxa"/>
          </w:tcPr>
          <w:p w14:paraId="7147BC8B">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规定时间内根据需要携带工器具和材料。</w:t>
            </w:r>
          </w:p>
        </w:tc>
        <w:tc>
          <w:tcPr>
            <w:tcW w:w="851" w:type="dxa"/>
          </w:tcPr>
          <w:p w14:paraId="1B2B0793">
            <w:pPr>
              <w:jc w:val="center"/>
              <w:rPr>
                <w:rFonts w:ascii="仿宋_GB2312" w:hAnsi="仿宋_GB2312" w:eastAsia="仿宋_GB2312" w:cs="仿宋_GB2312"/>
                <w:spacing w:val="4"/>
                <w:sz w:val="24"/>
                <w:szCs w:val="24"/>
                <w:lang w:eastAsia="zh-CN"/>
              </w:rPr>
            </w:pPr>
          </w:p>
          <w:p w14:paraId="2979DF91">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3544" w:type="dxa"/>
          </w:tcPr>
          <w:p w14:paraId="2E4AFBEE">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2分钟准备，选手无疑议，向裁判员申请开始作业。（超时裁判应提示进入比赛计时）</w:t>
            </w:r>
          </w:p>
        </w:tc>
        <w:tc>
          <w:tcPr>
            <w:tcW w:w="1134" w:type="dxa"/>
          </w:tcPr>
          <w:p w14:paraId="5F74FC63">
            <w:pPr>
              <w:jc w:val="center"/>
              <w:rPr>
                <w:rFonts w:ascii="仿宋_GB2312" w:hAnsi="仿宋_GB2312" w:eastAsia="仿宋_GB2312" w:cs="仿宋_GB2312"/>
                <w:spacing w:val="4"/>
                <w:sz w:val="24"/>
                <w:szCs w:val="24"/>
                <w:lang w:eastAsia="zh-CN"/>
              </w:rPr>
            </w:pPr>
          </w:p>
          <w:p w14:paraId="172A26D4">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r>
      <w:tr w14:paraId="69FE8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56" w:type="dxa"/>
            <w:vMerge w:val="restart"/>
            <w:tcBorders>
              <w:bottom w:val="nil"/>
            </w:tcBorders>
          </w:tcPr>
          <w:p w14:paraId="7BDABFCB">
            <w:pPr>
              <w:jc w:val="center"/>
              <w:rPr>
                <w:rFonts w:ascii="仿宋_GB2312" w:hAnsi="仿宋_GB2312" w:eastAsia="仿宋_GB2312" w:cs="仿宋_GB2312"/>
                <w:spacing w:val="4"/>
                <w:sz w:val="24"/>
                <w:szCs w:val="24"/>
                <w:lang w:eastAsia="zh-CN"/>
              </w:rPr>
            </w:pPr>
          </w:p>
          <w:p w14:paraId="6EC892C0">
            <w:pPr>
              <w:jc w:val="center"/>
              <w:rPr>
                <w:rFonts w:ascii="仿宋_GB2312" w:hAnsi="仿宋_GB2312" w:eastAsia="仿宋_GB2312" w:cs="仿宋_GB2312"/>
                <w:spacing w:val="4"/>
                <w:sz w:val="24"/>
                <w:szCs w:val="24"/>
                <w:lang w:eastAsia="zh-CN"/>
              </w:rPr>
            </w:pPr>
          </w:p>
          <w:p w14:paraId="3AEB9683">
            <w:pPr>
              <w:jc w:val="center"/>
              <w:rPr>
                <w:rFonts w:ascii="仿宋_GB2312" w:hAnsi="仿宋_GB2312" w:eastAsia="仿宋_GB2312" w:cs="仿宋_GB2312"/>
                <w:spacing w:val="4"/>
                <w:sz w:val="24"/>
                <w:szCs w:val="24"/>
                <w:lang w:eastAsia="zh-CN"/>
              </w:rPr>
            </w:pPr>
          </w:p>
          <w:p w14:paraId="7C308AB7">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2</w:t>
            </w:r>
          </w:p>
        </w:tc>
        <w:tc>
          <w:tcPr>
            <w:tcW w:w="1088" w:type="dxa"/>
            <w:vMerge w:val="restart"/>
            <w:tcBorders>
              <w:bottom w:val="nil"/>
            </w:tcBorders>
          </w:tcPr>
          <w:p w14:paraId="03ACA195">
            <w:pPr>
              <w:jc w:val="center"/>
              <w:rPr>
                <w:rFonts w:ascii="仿宋_GB2312" w:hAnsi="仿宋_GB2312" w:eastAsia="仿宋_GB2312" w:cs="仿宋_GB2312"/>
                <w:spacing w:val="4"/>
                <w:sz w:val="24"/>
                <w:szCs w:val="24"/>
                <w:lang w:eastAsia="zh-CN"/>
              </w:rPr>
            </w:pPr>
          </w:p>
          <w:p w14:paraId="59DC7FF5">
            <w:pPr>
              <w:jc w:val="center"/>
              <w:rPr>
                <w:rFonts w:ascii="仿宋_GB2312" w:hAnsi="仿宋_GB2312" w:eastAsia="仿宋_GB2312" w:cs="仿宋_GB2312"/>
                <w:spacing w:val="4"/>
                <w:sz w:val="24"/>
                <w:szCs w:val="24"/>
                <w:lang w:eastAsia="zh-CN"/>
              </w:rPr>
            </w:pPr>
          </w:p>
          <w:p w14:paraId="273049AE">
            <w:pPr>
              <w:jc w:val="center"/>
              <w:rPr>
                <w:rFonts w:ascii="仿宋_GB2312" w:hAnsi="仿宋_GB2312" w:eastAsia="仿宋_GB2312" w:cs="仿宋_GB2312"/>
                <w:spacing w:val="4"/>
                <w:sz w:val="24"/>
                <w:szCs w:val="24"/>
                <w:lang w:eastAsia="zh-CN"/>
              </w:rPr>
            </w:pPr>
          </w:p>
          <w:p w14:paraId="6D59CAAA">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请点</w:t>
            </w:r>
          </w:p>
        </w:tc>
        <w:tc>
          <w:tcPr>
            <w:tcW w:w="2126" w:type="dxa"/>
            <w:vMerge w:val="restart"/>
            <w:tcBorders>
              <w:bottom w:val="nil"/>
            </w:tcBorders>
          </w:tcPr>
          <w:p w14:paraId="576766DE">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作业前请点：</w:t>
            </w:r>
          </w:p>
          <w:p w14:paraId="74577F31">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1．选手通过举手示意完成请点：“申请办理施工请点”。</w:t>
            </w:r>
          </w:p>
          <w:p w14:paraId="6EEC88E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2．裁判收到请点示意后回复：“同意请点，可以作业。”</w:t>
            </w:r>
          </w:p>
          <w:p w14:paraId="79F96E63">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3．请点完成后，选手自行按下计时器开始键，计时器开始计时。</w:t>
            </w:r>
          </w:p>
        </w:tc>
        <w:tc>
          <w:tcPr>
            <w:tcW w:w="851" w:type="dxa"/>
            <w:vMerge w:val="restart"/>
            <w:tcBorders>
              <w:bottom w:val="nil"/>
            </w:tcBorders>
          </w:tcPr>
          <w:p w14:paraId="5B78B4C6">
            <w:pPr>
              <w:jc w:val="center"/>
              <w:rPr>
                <w:rFonts w:ascii="仿宋_GB2312" w:hAnsi="仿宋_GB2312" w:eastAsia="仿宋_GB2312" w:cs="仿宋_GB2312"/>
                <w:spacing w:val="4"/>
                <w:sz w:val="24"/>
                <w:szCs w:val="24"/>
                <w:lang w:eastAsia="zh-CN"/>
              </w:rPr>
            </w:pPr>
          </w:p>
          <w:p w14:paraId="166213EC">
            <w:pPr>
              <w:jc w:val="center"/>
              <w:rPr>
                <w:rFonts w:ascii="仿宋_GB2312" w:hAnsi="仿宋_GB2312" w:eastAsia="仿宋_GB2312" w:cs="仿宋_GB2312"/>
                <w:spacing w:val="4"/>
                <w:sz w:val="24"/>
                <w:szCs w:val="24"/>
                <w:lang w:eastAsia="zh-CN"/>
              </w:rPr>
            </w:pPr>
          </w:p>
          <w:p w14:paraId="04C09FAB">
            <w:pPr>
              <w:jc w:val="center"/>
              <w:rPr>
                <w:rFonts w:ascii="仿宋_GB2312" w:hAnsi="仿宋_GB2312" w:eastAsia="仿宋_GB2312" w:cs="仿宋_GB2312"/>
                <w:spacing w:val="4"/>
                <w:sz w:val="24"/>
                <w:szCs w:val="24"/>
                <w:lang w:eastAsia="zh-CN"/>
              </w:rPr>
            </w:pPr>
          </w:p>
          <w:p w14:paraId="30098755">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3</w:t>
            </w:r>
          </w:p>
        </w:tc>
        <w:tc>
          <w:tcPr>
            <w:tcW w:w="3544" w:type="dxa"/>
          </w:tcPr>
          <w:p w14:paraId="70C1B2C7">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未请点扣3分。</w:t>
            </w:r>
          </w:p>
        </w:tc>
        <w:tc>
          <w:tcPr>
            <w:tcW w:w="1134" w:type="dxa"/>
            <w:vMerge w:val="restart"/>
            <w:tcBorders>
              <w:bottom w:val="nil"/>
            </w:tcBorders>
          </w:tcPr>
          <w:p w14:paraId="21532212">
            <w:pPr>
              <w:jc w:val="center"/>
              <w:rPr>
                <w:rFonts w:ascii="仿宋_GB2312" w:hAnsi="仿宋_GB2312" w:eastAsia="仿宋_GB2312" w:cs="仿宋_GB2312"/>
                <w:spacing w:val="4"/>
                <w:sz w:val="24"/>
                <w:szCs w:val="24"/>
                <w:lang w:eastAsia="zh-CN"/>
              </w:rPr>
            </w:pPr>
          </w:p>
          <w:p w14:paraId="79AC2F7B">
            <w:pPr>
              <w:jc w:val="center"/>
              <w:rPr>
                <w:rFonts w:ascii="仿宋_GB2312" w:hAnsi="仿宋_GB2312" w:eastAsia="仿宋_GB2312" w:cs="仿宋_GB2312"/>
                <w:spacing w:val="4"/>
                <w:sz w:val="24"/>
                <w:szCs w:val="24"/>
                <w:lang w:eastAsia="zh-CN"/>
              </w:rPr>
            </w:pPr>
          </w:p>
          <w:p w14:paraId="591B96C2">
            <w:pPr>
              <w:jc w:val="center"/>
              <w:rPr>
                <w:rFonts w:ascii="仿宋_GB2312" w:hAnsi="仿宋_GB2312" w:eastAsia="仿宋_GB2312" w:cs="仿宋_GB2312"/>
                <w:spacing w:val="4"/>
                <w:sz w:val="24"/>
                <w:szCs w:val="24"/>
                <w:lang w:eastAsia="zh-CN"/>
              </w:rPr>
            </w:pPr>
          </w:p>
          <w:p w14:paraId="27B75CD8">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人工评分</w:t>
            </w:r>
          </w:p>
        </w:tc>
      </w:tr>
      <w:tr w14:paraId="7ABED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jc w:val="center"/>
        </w:trPr>
        <w:tc>
          <w:tcPr>
            <w:tcW w:w="756" w:type="dxa"/>
            <w:vMerge w:val="continue"/>
            <w:tcBorders>
              <w:top w:val="nil"/>
            </w:tcBorders>
          </w:tcPr>
          <w:p w14:paraId="1FBDD277">
            <w:pPr>
              <w:jc w:val="center"/>
              <w:rPr>
                <w:rFonts w:ascii="仿宋_GB2312" w:hAnsi="仿宋_GB2312" w:eastAsia="仿宋_GB2312" w:cs="仿宋_GB2312"/>
                <w:spacing w:val="4"/>
                <w:sz w:val="24"/>
                <w:szCs w:val="24"/>
                <w:lang w:eastAsia="zh-CN"/>
              </w:rPr>
            </w:pPr>
          </w:p>
        </w:tc>
        <w:tc>
          <w:tcPr>
            <w:tcW w:w="1088" w:type="dxa"/>
            <w:vMerge w:val="continue"/>
            <w:tcBorders>
              <w:top w:val="nil"/>
            </w:tcBorders>
          </w:tcPr>
          <w:p w14:paraId="53BBEAEC">
            <w:pPr>
              <w:jc w:val="center"/>
              <w:rPr>
                <w:rFonts w:ascii="仿宋_GB2312" w:hAnsi="仿宋_GB2312" w:eastAsia="仿宋_GB2312" w:cs="仿宋_GB2312"/>
                <w:spacing w:val="4"/>
                <w:sz w:val="24"/>
                <w:szCs w:val="24"/>
                <w:lang w:eastAsia="zh-CN"/>
              </w:rPr>
            </w:pPr>
          </w:p>
        </w:tc>
        <w:tc>
          <w:tcPr>
            <w:tcW w:w="2126" w:type="dxa"/>
            <w:vMerge w:val="continue"/>
            <w:tcBorders>
              <w:top w:val="nil"/>
            </w:tcBorders>
          </w:tcPr>
          <w:p w14:paraId="51B79531">
            <w:pPr>
              <w:jc w:val="center"/>
              <w:rPr>
                <w:rFonts w:ascii="仿宋_GB2312" w:hAnsi="仿宋_GB2312" w:eastAsia="仿宋_GB2312" w:cs="仿宋_GB2312"/>
                <w:spacing w:val="4"/>
                <w:sz w:val="24"/>
                <w:szCs w:val="24"/>
                <w:lang w:eastAsia="zh-CN"/>
              </w:rPr>
            </w:pPr>
          </w:p>
        </w:tc>
        <w:tc>
          <w:tcPr>
            <w:tcW w:w="851" w:type="dxa"/>
            <w:vMerge w:val="continue"/>
            <w:tcBorders>
              <w:top w:val="nil"/>
            </w:tcBorders>
          </w:tcPr>
          <w:p w14:paraId="773EF019">
            <w:pPr>
              <w:jc w:val="center"/>
              <w:rPr>
                <w:rFonts w:ascii="仿宋_GB2312" w:hAnsi="仿宋_GB2312" w:eastAsia="仿宋_GB2312" w:cs="仿宋_GB2312"/>
                <w:spacing w:val="4"/>
                <w:sz w:val="24"/>
                <w:szCs w:val="24"/>
                <w:lang w:eastAsia="zh-CN"/>
              </w:rPr>
            </w:pPr>
          </w:p>
        </w:tc>
        <w:tc>
          <w:tcPr>
            <w:tcW w:w="3544" w:type="dxa"/>
          </w:tcPr>
          <w:p w14:paraId="21A96750">
            <w:pPr>
              <w:jc w:val="center"/>
              <w:rPr>
                <w:rFonts w:ascii="仿宋_GB2312" w:hAnsi="仿宋_GB2312" w:eastAsia="仿宋_GB2312" w:cs="仿宋_GB2312"/>
                <w:spacing w:val="4"/>
                <w:sz w:val="24"/>
                <w:szCs w:val="24"/>
                <w:lang w:eastAsia="zh-CN"/>
              </w:rPr>
            </w:pPr>
          </w:p>
          <w:p w14:paraId="3F4AD05D">
            <w:pPr>
              <w:jc w:val="center"/>
              <w:rPr>
                <w:rFonts w:ascii="仿宋_GB2312" w:hAnsi="仿宋_GB2312" w:eastAsia="仿宋_GB2312" w:cs="仿宋_GB2312"/>
                <w:spacing w:val="4"/>
                <w:sz w:val="24"/>
                <w:szCs w:val="24"/>
                <w:lang w:eastAsia="zh-CN"/>
              </w:rPr>
            </w:pPr>
          </w:p>
          <w:p w14:paraId="6CC2D0AD">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出现请点时未穿反光衣/工装的情况，每项扣1.5分，最多扣3分。</w:t>
            </w:r>
          </w:p>
        </w:tc>
        <w:tc>
          <w:tcPr>
            <w:tcW w:w="1134" w:type="dxa"/>
            <w:vMerge w:val="continue"/>
            <w:tcBorders>
              <w:top w:val="nil"/>
            </w:tcBorders>
          </w:tcPr>
          <w:p w14:paraId="020A7082">
            <w:pPr>
              <w:jc w:val="center"/>
              <w:rPr>
                <w:rFonts w:ascii="仿宋_GB2312" w:hAnsi="仿宋_GB2312" w:eastAsia="仿宋_GB2312" w:cs="仿宋_GB2312"/>
                <w:spacing w:val="4"/>
                <w:sz w:val="24"/>
                <w:szCs w:val="24"/>
                <w:lang w:eastAsia="zh-CN"/>
              </w:rPr>
            </w:pPr>
          </w:p>
        </w:tc>
      </w:tr>
      <w:tr w14:paraId="094C6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756" w:type="dxa"/>
          </w:tcPr>
          <w:p w14:paraId="610615C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3</w:t>
            </w:r>
          </w:p>
        </w:tc>
        <w:tc>
          <w:tcPr>
            <w:tcW w:w="1088" w:type="dxa"/>
          </w:tcPr>
          <w:p w14:paraId="64674F2D">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开始</w:t>
            </w:r>
          </w:p>
        </w:tc>
        <w:tc>
          <w:tcPr>
            <w:tcW w:w="2126" w:type="dxa"/>
          </w:tcPr>
          <w:p w14:paraId="712D3CF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选手在系统软件上点击“开始考试”按钮，开始考试。</w:t>
            </w:r>
          </w:p>
        </w:tc>
        <w:tc>
          <w:tcPr>
            <w:tcW w:w="851" w:type="dxa"/>
          </w:tcPr>
          <w:p w14:paraId="7D75165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3544" w:type="dxa"/>
          </w:tcPr>
          <w:p w14:paraId="68C0B2B9">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1134" w:type="dxa"/>
          </w:tcPr>
          <w:p w14:paraId="0693D97F">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r>
      <w:tr w14:paraId="1CFE9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jc w:val="center"/>
        </w:trPr>
        <w:tc>
          <w:tcPr>
            <w:tcW w:w="756" w:type="dxa"/>
          </w:tcPr>
          <w:p w14:paraId="21E33138">
            <w:pPr>
              <w:jc w:val="center"/>
              <w:rPr>
                <w:rFonts w:ascii="仿宋_GB2312" w:hAnsi="仿宋_GB2312" w:eastAsia="仿宋_GB2312" w:cs="仿宋_GB2312"/>
                <w:spacing w:val="4"/>
                <w:sz w:val="24"/>
                <w:szCs w:val="24"/>
                <w:lang w:eastAsia="zh-CN"/>
              </w:rPr>
            </w:pPr>
          </w:p>
          <w:p w14:paraId="59556917">
            <w:pPr>
              <w:jc w:val="center"/>
              <w:rPr>
                <w:rFonts w:ascii="仿宋_GB2312" w:hAnsi="仿宋_GB2312" w:eastAsia="仿宋_GB2312" w:cs="仿宋_GB2312"/>
                <w:spacing w:val="4"/>
                <w:sz w:val="24"/>
                <w:szCs w:val="24"/>
                <w:lang w:eastAsia="zh-CN"/>
              </w:rPr>
            </w:pPr>
          </w:p>
          <w:p w14:paraId="65016815">
            <w:pPr>
              <w:jc w:val="center"/>
              <w:rPr>
                <w:rFonts w:ascii="仿宋_GB2312" w:hAnsi="仿宋_GB2312" w:eastAsia="仿宋_GB2312" w:cs="仿宋_GB2312"/>
                <w:spacing w:val="4"/>
                <w:sz w:val="24"/>
                <w:szCs w:val="24"/>
                <w:lang w:eastAsia="zh-CN"/>
              </w:rPr>
            </w:pPr>
          </w:p>
          <w:p w14:paraId="0CDC3155">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4</w:t>
            </w:r>
          </w:p>
        </w:tc>
        <w:tc>
          <w:tcPr>
            <w:tcW w:w="1088" w:type="dxa"/>
          </w:tcPr>
          <w:p w14:paraId="2C473CA7">
            <w:pPr>
              <w:jc w:val="center"/>
              <w:rPr>
                <w:rFonts w:ascii="仿宋_GB2312" w:hAnsi="仿宋_GB2312" w:eastAsia="仿宋_GB2312" w:cs="仿宋_GB2312"/>
                <w:spacing w:val="4"/>
                <w:sz w:val="24"/>
                <w:szCs w:val="24"/>
                <w:lang w:eastAsia="zh-CN"/>
              </w:rPr>
            </w:pPr>
          </w:p>
          <w:p w14:paraId="4E81BCFD">
            <w:pPr>
              <w:jc w:val="center"/>
              <w:rPr>
                <w:rFonts w:ascii="仿宋_GB2312" w:hAnsi="仿宋_GB2312" w:eastAsia="仿宋_GB2312" w:cs="仿宋_GB2312"/>
                <w:spacing w:val="4"/>
                <w:sz w:val="24"/>
                <w:szCs w:val="24"/>
                <w:lang w:eastAsia="zh-CN"/>
              </w:rPr>
            </w:pPr>
          </w:p>
          <w:p w14:paraId="1C2C5FFF">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故障排查、恢复与验证</w:t>
            </w:r>
          </w:p>
        </w:tc>
        <w:tc>
          <w:tcPr>
            <w:tcW w:w="2126" w:type="dxa"/>
          </w:tcPr>
          <w:p w14:paraId="3461D890">
            <w:pPr>
              <w:jc w:val="center"/>
              <w:rPr>
                <w:rFonts w:ascii="仿宋_GB2312" w:hAnsi="仿宋_GB2312" w:eastAsia="仿宋_GB2312" w:cs="仿宋_GB2312"/>
                <w:spacing w:val="4"/>
                <w:sz w:val="24"/>
                <w:szCs w:val="24"/>
                <w:lang w:eastAsia="zh-CN"/>
              </w:rPr>
            </w:pPr>
          </w:p>
          <w:p w14:paraId="4784E19C">
            <w:pPr>
              <w:jc w:val="center"/>
              <w:rPr>
                <w:rFonts w:ascii="仿宋_GB2312" w:hAnsi="仿宋_GB2312" w:eastAsia="仿宋_GB2312" w:cs="仿宋_GB2312"/>
                <w:spacing w:val="4"/>
                <w:sz w:val="24"/>
                <w:szCs w:val="24"/>
                <w:lang w:eastAsia="zh-CN"/>
              </w:rPr>
            </w:pPr>
          </w:p>
          <w:p w14:paraId="0383447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三相五线制交流380V转辙机（单机牵引）故障处理</w:t>
            </w:r>
          </w:p>
        </w:tc>
        <w:tc>
          <w:tcPr>
            <w:tcW w:w="851" w:type="dxa"/>
          </w:tcPr>
          <w:p w14:paraId="551518E9">
            <w:pPr>
              <w:jc w:val="center"/>
              <w:rPr>
                <w:rFonts w:ascii="仿宋_GB2312" w:hAnsi="仿宋_GB2312" w:eastAsia="仿宋_GB2312" w:cs="仿宋_GB2312"/>
                <w:spacing w:val="4"/>
                <w:sz w:val="24"/>
                <w:szCs w:val="24"/>
                <w:lang w:eastAsia="zh-CN"/>
              </w:rPr>
            </w:pPr>
          </w:p>
          <w:p w14:paraId="3AA9C927">
            <w:pPr>
              <w:jc w:val="center"/>
              <w:rPr>
                <w:rFonts w:ascii="仿宋_GB2312" w:hAnsi="仿宋_GB2312" w:eastAsia="仿宋_GB2312" w:cs="仿宋_GB2312"/>
                <w:spacing w:val="4"/>
                <w:sz w:val="24"/>
                <w:szCs w:val="24"/>
                <w:lang w:eastAsia="zh-CN"/>
              </w:rPr>
            </w:pPr>
          </w:p>
          <w:p w14:paraId="1E79B9EB">
            <w:pPr>
              <w:jc w:val="center"/>
              <w:rPr>
                <w:rFonts w:ascii="仿宋_GB2312" w:hAnsi="仿宋_GB2312" w:eastAsia="仿宋_GB2312" w:cs="仿宋_GB2312"/>
                <w:spacing w:val="4"/>
                <w:sz w:val="24"/>
                <w:szCs w:val="24"/>
                <w:lang w:eastAsia="zh-CN"/>
              </w:rPr>
            </w:pPr>
          </w:p>
          <w:p w14:paraId="3E7E94D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70</w:t>
            </w:r>
          </w:p>
        </w:tc>
        <w:tc>
          <w:tcPr>
            <w:tcW w:w="3544" w:type="dxa"/>
          </w:tcPr>
          <w:p w14:paraId="3DD77839">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判断出故障点后，选手须在修复界面点击相应故障点后再点击“提交”按钮修复故障，并在故障登记簿上填写故障点和故障原因；选手可点击“下一个故障点”跳过无法判断的故障，跳过的故障系统自动记录为查找错误。）</w:t>
            </w:r>
          </w:p>
          <w:p w14:paraId="21A27A2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2．共10个故障点，由系统自动评分；每正确查找一个故障得5分，最多得50分；</w:t>
            </w:r>
          </w:p>
          <w:p w14:paraId="16E15B51">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3.故障登记簿由人工评分，每正确填写一条得2分，最多得20分。</w:t>
            </w:r>
          </w:p>
        </w:tc>
        <w:tc>
          <w:tcPr>
            <w:tcW w:w="1134" w:type="dxa"/>
          </w:tcPr>
          <w:p w14:paraId="0F521FBD">
            <w:pPr>
              <w:jc w:val="center"/>
              <w:rPr>
                <w:rFonts w:ascii="仿宋_GB2312" w:hAnsi="仿宋_GB2312" w:eastAsia="仿宋_GB2312" w:cs="仿宋_GB2312"/>
                <w:spacing w:val="4"/>
                <w:sz w:val="24"/>
                <w:szCs w:val="24"/>
                <w:lang w:eastAsia="zh-CN"/>
              </w:rPr>
            </w:pPr>
          </w:p>
          <w:p w14:paraId="20EF81B9">
            <w:pPr>
              <w:jc w:val="center"/>
              <w:rPr>
                <w:rFonts w:ascii="仿宋_GB2312" w:hAnsi="仿宋_GB2312" w:eastAsia="仿宋_GB2312" w:cs="仿宋_GB2312"/>
                <w:spacing w:val="4"/>
                <w:sz w:val="24"/>
                <w:szCs w:val="24"/>
                <w:lang w:eastAsia="zh-CN"/>
              </w:rPr>
            </w:pPr>
          </w:p>
          <w:p w14:paraId="1834686F">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人工/计算机评分</w:t>
            </w:r>
          </w:p>
        </w:tc>
      </w:tr>
    </w:tbl>
    <w:tbl>
      <w:tblPr>
        <w:tblStyle w:val="20"/>
        <w:tblW w:w="94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088"/>
        <w:gridCol w:w="2126"/>
        <w:gridCol w:w="851"/>
        <w:gridCol w:w="3544"/>
        <w:gridCol w:w="1134"/>
      </w:tblGrid>
      <w:tr w14:paraId="40B68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jc w:val="center"/>
        </w:trPr>
        <w:tc>
          <w:tcPr>
            <w:tcW w:w="756" w:type="dxa"/>
          </w:tcPr>
          <w:p w14:paraId="1051AAE9">
            <w:pPr>
              <w:jc w:val="center"/>
              <w:rPr>
                <w:rFonts w:ascii="仿宋_GB2312" w:hAnsi="仿宋_GB2312" w:eastAsia="仿宋_GB2312" w:cs="仿宋_GB2312"/>
                <w:spacing w:val="4"/>
                <w:sz w:val="24"/>
                <w:szCs w:val="24"/>
                <w:lang w:eastAsia="zh-CN"/>
              </w:rPr>
            </w:pPr>
          </w:p>
          <w:p w14:paraId="287B093F">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5</w:t>
            </w:r>
          </w:p>
        </w:tc>
        <w:tc>
          <w:tcPr>
            <w:tcW w:w="1088" w:type="dxa"/>
          </w:tcPr>
          <w:p w14:paraId="538BB821">
            <w:pPr>
              <w:jc w:val="center"/>
              <w:rPr>
                <w:rFonts w:ascii="仿宋_GB2312" w:hAnsi="仿宋_GB2312" w:eastAsia="仿宋_GB2312" w:cs="仿宋_GB2312"/>
                <w:spacing w:val="4"/>
                <w:sz w:val="24"/>
                <w:szCs w:val="24"/>
                <w:lang w:eastAsia="zh-CN"/>
              </w:rPr>
            </w:pPr>
          </w:p>
          <w:p w14:paraId="4808B87B">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三清</w:t>
            </w:r>
          </w:p>
        </w:tc>
        <w:tc>
          <w:tcPr>
            <w:tcW w:w="2126" w:type="dxa"/>
          </w:tcPr>
          <w:p w14:paraId="1299B559">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作业完毕后要做好工器具、材料、作业人员的出清工作。</w:t>
            </w:r>
          </w:p>
        </w:tc>
        <w:tc>
          <w:tcPr>
            <w:tcW w:w="851" w:type="dxa"/>
          </w:tcPr>
          <w:p w14:paraId="13F2237F">
            <w:pPr>
              <w:jc w:val="center"/>
              <w:rPr>
                <w:rFonts w:ascii="仿宋_GB2312" w:hAnsi="仿宋_GB2312" w:eastAsia="仿宋_GB2312" w:cs="仿宋_GB2312"/>
                <w:spacing w:val="4"/>
                <w:sz w:val="24"/>
                <w:szCs w:val="24"/>
                <w:lang w:eastAsia="zh-CN"/>
              </w:rPr>
            </w:pPr>
          </w:p>
          <w:p w14:paraId="0ADF2E6D">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9</w:t>
            </w:r>
          </w:p>
        </w:tc>
        <w:tc>
          <w:tcPr>
            <w:tcW w:w="3544" w:type="dxa"/>
            <w:vAlign w:val="center"/>
          </w:tcPr>
          <w:p w14:paraId="460E0EA8">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作业现场需清理干净，每遗漏一项工器具或材料扣3分，最多扣9分。</w:t>
            </w:r>
          </w:p>
        </w:tc>
        <w:tc>
          <w:tcPr>
            <w:tcW w:w="1134" w:type="dxa"/>
          </w:tcPr>
          <w:p w14:paraId="5FC60AF7">
            <w:pPr>
              <w:jc w:val="center"/>
              <w:rPr>
                <w:rFonts w:ascii="仿宋_GB2312" w:hAnsi="仿宋_GB2312" w:eastAsia="仿宋_GB2312" w:cs="仿宋_GB2312"/>
                <w:spacing w:val="4"/>
                <w:sz w:val="24"/>
                <w:szCs w:val="24"/>
                <w:lang w:eastAsia="zh-CN"/>
              </w:rPr>
            </w:pPr>
          </w:p>
          <w:p w14:paraId="605BDA58">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人工评分</w:t>
            </w:r>
          </w:p>
        </w:tc>
      </w:tr>
      <w:tr w14:paraId="28A25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756" w:type="dxa"/>
          </w:tcPr>
          <w:p w14:paraId="1562593A">
            <w:pPr>
              <w:jc w:val="center"/>
              <w:rPr>
                <w:rFonts w:ascii="仿宋_GB2312" w:hAnsi="仿宋_GB2312" w:eastAsia="仿宋_GB2312" w:cs="仿宋_GB2312"/>
                <w:spacing w:val="4"/>
                <w:sz w:val="24"/>
                <w:szCs w:val="24"/>
                <w:lang w:eastAsia="zh-CN"/>
              </w:rPr>
            </w:pPr>
          </w:p>
          <w:p w14:paraId="2FB523F1">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6</w:t>
            </w:r>
          </w:p>
        </w:tc>
        <w:tc>
          <w:tcPr>
            <w:tcW w:w="1088" w:type="dxa"/>
          </w:tcPr>
          <w:p w14:paraId="56788F04">
            <w:pPr>
              <w:jc w:val="center"/>
              <w:rPr>
                <w:rFonts w:ascii="仿宋_GB2312" w:hAnsi="仿宋_GB2312" w:eastAsia="仿宋_GB2312" w:cs="仿宋_GB2312"/>
                <w:spacing w:val="4"/>
                <w:sz w:val="24"/>
                <w:szCs w:val="24"/>
                <w:lang w:eastAsia="zh-CN"/>
              </w:rPr>
            </w:pPr>
          </w:p>
          <w:p w14:paraId="16C11917">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销点</w:t>
            </w:r>
          </w:p>
        </w:tc>
        <w:tc>
          <w:tcPr>
            <w:tcW w:w="2126" w:type="dxa"/>
          </w:tcPr>
          <w:p w14:paraId="165CB918">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作业后销点：</w:t>
            </w:r>
          </w:p>
          <w:p w14:paraId="54D0CDE4">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1．选手通过举手示意完成销点：“施工结束，申请销点。”</w:t>
            </w:r>
          </w:p>
          <w:p w14:paraId="00F46E66">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2．销点成功后裁判回复：“同意销点。”</w:t>
            </w:r>
          </w:p>
        </w:tc>
        <w:tc>
          <w:tcPr>
            <w:tcW w:w="851" w:type="dxa"/>
          </w:tcPr>
          <w:p w14:paraId="571E5BAC">
            <w:pPr>
              <w:jc w:val="center"/>
              <w:rPr>
                <w:rFonts w:ascii="仿宋_GB2312" w:hAnsi="仿宋_GB2312" w:eastAsia="仿宋_GB2312" w:cs="仿宋_GB2312"/>
                <w:spacing w:val="4"/>
                <w:sz w:val="24"/>
                <w:szCs w:val="24"/>
                <w:lang w:eastAsia="zh-CN"/>
              </w:rPr>
            </w:pPr>
          </w:p>
          <w:p w14:paraId="606B0ECE">
            <w:pPr>
              <w:jc w:val="center"/>
              <w:rPr>
                <w:rFonts w:ascii="仿宋_GB2312" w:hAnsi="仿宋_GB2312" w:eastAsia="仿宋_GB2312" w:cs="仿宋_GB2312"/>
                <w:spacing w:val="4"/>
                <w:sz w:val="24"/>
                <w:szCs w:val="24"/>
                <w:lang w:eastAsia="zh-CN"/>
              </w:rPr>
            </w:pPr>
          </w:p>
          <w:p w14:paraId="1614933D">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3</w:t>
            </w:r>
          </w:p>
        </w:tc>
        <w:tc>
          <w:tcPr>
            <w:tcW w:w="3544" w:type="dxa"/>
            <w:vAlign w:val="center"/>
          </w:tcPr>
          <w:p w14:paraId="7431A745">
            <w:pPr>
              <w:jc w:val="center"/>
              <w:rPr>
                <w:rFonts w:ascii="仿宋_GB2312" w:hAnsi="仿宋_GB2312" w:eastAsia="仿宋_GB2312" w:cs="仿宋_GB2312"/>
                <w:spacing w:val="4"/>
                <w:sz w:val="24"/>
                <w:szCs w:val="24"/>
                <w:lang w:eastAsia="zh-CN"/>
              </w:rPr>
            </w:pPr>
          </w:p>
          <w:p w14:paraId="05DCF37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未销点扣3分。</w:t>
            </w:r>
          </w:p>
        </w:tc>
        <w:tc>
          <w:tcPr>
            <w:tcW w:w="1134" w:type="dxa"/>
          </w:tcPr>
          <w:p w14:paraId="04C84792">
            <w:pPr>
              <w:jc w:val="center"/>
              <w:rPr>
                <w:rFonts w:ascii="仿宋_GB2312" w:hAnsi="仿宋_GB2312" w:eastAsia="仿宋_GB2312" w:cs="仿宋_GB2312"/>
                <w:spacing w:val="4"/>
                <w:sz w:val="24"/>
                <w:szCs w:val="24"/>
                <w:lang w:eastAsia="zh-CN"/>
              </w:rPr>
            </w:pPr>
          </w:p>
          <w:p w14:paraId="361BDCD5">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人工评分</w:t>
            </w:r>
          </w:p>
        </w:tc>
      </w:tr>
      <w:tr w14:paraId="53A86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756" w:type="dxa"/>
          </w:tcPr>
          <w:p w14:paraId="7D41A964">
            <w:pPr>
              <w:jc w:val="center"/>
              <w:rPr>
                <w:rFonts w:ascii="仿宋_GB2312" w:hAnsi="仿宋_GB2312" w:eastAsia="仿宋_GB2312" w:cs="仿宋_GB2312"/>
                <w:spacing w:val="4"/>
                <w:sz w:val="24"/>
                <w:szCs w:val="24"/>
                <w:lang w:eastAsia="zh-CN"/>
              </w:rPr>
            </w:pPr>
          </w:p>
          <w:p w14:paraId="2C5CD6BF">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7</w:t>
            </w:r>
          </w:p>
        </w:tc>
        <w:tc>
          <w:tcPr>
            <w:tcW w:w="1088" w:type="dxa"/>
          </w:tcPr>
          <w:p w14:paraId="4DFAA1D0">
            <w:pPr>
              <w:jc w:val="center"/>
              <w:rPr>
                <w:rFonts w:ascii="仿宋_GB2312" w:hAnsi="仿宋_GB2312" w:eastAsia="仿宋_GB2312" w:cs="仿宋_GB2312"/>
                <w:spacing w:val="4"/>
                <w:sz w:val="24"/>
                <w:szCs w:val="24"/>
                <w:lang w:eastAsia="zh-CN"/>
              </w:rPr>
            </w:pPr>
          </w:p>
          <w:p w14:paraId="1EAB281C">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结束</w:t>
            </w:r>
          </w:p>
        </w:tc>
        <w:tc>
          <w:tcPr>
            <w:tcW w:w="2126" w:type="dxa"/>
          </w:tcPr>
          <w:p w14:paraId="4038E090">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1．销点后，选手自行按下计时器暂停键，计时器停止计时。</w:t>
            </w:r>
          </w:p>
          <w:p w14:paraId="702B7358">
            <w:pPr>
              <w:pStyle w:val="19"/>
              <w:jc w:val="center"/>
              <w:outlineLvl w:val="0"/>
              <w:rPr>
                <w:rFonts w:ascii="仿宋_GB2312" w:hAnsi="仿宋_GB2312" w:eastAsia="仿宋_GB2312" w:cs="仿宋_GB2312"/>
                <w:spacing w:val="4"/>
                <w:lang w:eastAsia="zh-CN"/>
              </w:rPr>
            </w:pPr>
            <w:r>
              <w:rPr>
                <w:rFonts w:ascii="仿宋_GB2312" w:hAnsi="仿宋_GB2312" w:eastAsia="仿宋_GB2312" w:cs="仿宋_GB2312"/>
                <w:spacing w:val="4"/>
                <w:lang w:eastAsia="zh-CN"/>
              </w:rPr>
              <w:t>2．超出规定时间,立即结束考试。</w:t>
            </w:r>
          </w:p>
        </w:tc>
        <w:tc>
          <w:tcPr>
            <w:tcW w:w="851" w:type="dxa"/>
          </w:tcPr>
          <w:p w14:paraId="5E714371">
            <w:pPr>
              <w:jc w:val="center"/>
              <w:rPr>
                <w:rFonts w:ascii="仿宋_GB2312" w:hAnsi="仿宋_GB2312" w:eastAsia="仿宋_GB2312" w:cs="仿宋_GB2312"/>
                <w:spacing w:val="4"/>
                <w:sz w:val="24"/>
                <w:szCs w:val="24"/>
                <w:lang w:eastAsia="zh-CN"/>
              </w:rPr>
            </w:pPr>
          </w:p>
          <w:p w14:paraId="29ABACB6">
            <w:pPr>
              <w:jc w:val="center"/>
              <w:rPr>
                <w:rFonts w:ascii="仿宋_GB2312" w:hAnsi="仿宋_GB2312" w:eastAsia="仿宋_GB2312" w:cs="仿宋_GB2312"/>
                <w:spacing w:val="4"/>
                <w:sz w:val="24"/>
                <w:szCs w:val="24"/>
                <w:lang w:eastAsia="zh-CN"/>
              </w:rPr>
            </w:pPr>
          </w:p>
          <w:p w14:paraId="05C79E3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3544" w:type="dxa"/>
          </w:tcPr>
          <w:p w14:paraId="740AC82E">
            <w:pPr>
              <w:jc w:val="center"/>
              <w:rPr>
                <w:rFonts w:ascii="仿宋_GB2312" w:hAnsi="仿宋_GB2312" w:eastAsia="仿宋_GB2312" w:cs="仿宋_GB2312"/>
                <w:spacing w:val="4"/>
                <w:sz w:val="24"/>
                <w:szCs w:val="24"/>
                <w:lang w:eastAsia="zh-CN"/>
              </w:rPr>
            </w:pPr>
          </w:p>
          <w:p w14:paraId="1D053E55">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1134" w:type="dxa"/>
          </w:tcPr>
          <w:p w14:paraId="60A80251">
            <w:pPr>
              <w:jc w:val="center"/>
              <w:rPr>
                <w:rFonts w:ascii="仿宋_GB2312" w:hAnsi="仿宋_GB2312" w:eastAsia="仿宋_GB2312" w:cs="仿宋_GB2312"/>
                <w:spacing w:val="4"/>
                <w:sz w:val="24"/>
                <w:szCs w:val="24"/>
                <w:lang w:eastAsia="zh-CN"/>
              </w:rPr>
            </w:pPr>
          </w:p>
          <w:p w14:paraId="6193CBA0">
            <w:pPr>
              <w:jc w:val="center"/>
              <w:rPr>
                <w:rFonts w:ascii="仿宋_GB2312" w:hAnsi="仿宋_GB2312" w:eastAsia="仿宋_GB2312" w:cs="仿宋_GB2312"/>
                <w:spacing w:val="4"/>
                <w:sz w:val="24"/>
                <w:szCs w:val="24"/>
                <w:lang w:eastAsia="zh-CN"/>
              </w:rPr>
            </w:pPr>
          </w:p>
          <w:p w14:paraId="76B0FE1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r>
      <w:tr w14:paraId="5F596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jc w:val="center"/>
        </w:trPr>
        <w:tc>
          <w:tcPr>
            <w:tcW w:w="756" w:type="dxa"/>
          </w:tcPr>
          <w:p w14:paraId="0606D9C5">
            <w:pPr>
              <w:jc w:val="center"/>
              <w:rPr>
                <w:rFonts w:ascii="仿宋_GB2312" w:hAnsi="仿宋_GB2312" w:eastAsia="仿宋_GB2312" w:cs="仿宋_GB2312"/>
                <w:spacing w:val="4"/>
                <w:sz w:val="24"/>
                <w:szCs w:val="24"/>
                <w:lang w:eastAsia="zh-CN"/>
              </w:rPr>
            </w:pPr>
          </w:p>
          <w:p w14:paraId="27F8512C">
            <w:pPr>
              <w:jc w:val="center"/>
              <w:rPr>
                <w:rFonts w:ascii="仿宋_GB2312" w:hAnsi="仿宋_GB2312" w:eastAsia="仿宋_GB2312" w:cs="仿宋_GB2312"/>
                <w:spacing w:val="4"/>
                <w:sz w:val="24"/>
                <w:szCs w:val="24"/>
                <w:lang w:eastAsia="zh-CN"/>
              </w:rPr>
            </w:pPr>
          </w:p>
          <w:p w14:paraId="5673786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8</w:t>
            </w:r>
          </w:p>
        </w:tc>
        <w:tc>
          <w:tcPr>
            <w:tcW w:w="1088" w:type="dxa"/>
            <w:vAlign w:val="center"/>
          </w:tcPr>
          <w:p w14:paraId="67C1C774">
            <w:pPr>
              <w:jc w:val="center"/>
              <w:rPr>
                <w:rFonts w:ascii="仿宋_GB2312" w:hAnsi="仿宋_GB2312" w:eastAsia="仿宋_GB2312" w:cs="仿宋_GB2312"/>
                <w:spacing w:val="4"/>
                <w:sz w:val="24"/>
                <w:szCs w:val="24"/>
                <w:lang w:eastAsia="zh-CN"/>
              </w:rPr>
            </w:pPr>
          </w:p>
          <w:p w14:paraId="37BBB31D">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作业时间</w:t>
            </w:r>
          </w:p>
        </w:tc>
        <w:tc>
          <w:tcPr>
            <w:tcW w:w="2126" w:type="dxa"/>
            <w:vAlign w:val="center"/>
          </w:tcPr>
          <w:p w14:paraId="2F353DAC">
            <w:pPr>
              <w:jc w:val="center"/>
              <w:rPr>
                <w:rFonts w:ascii="仿宋_GB2312" w:hAnsi="仿宋_GB2312" w:eastAsia="仿宋_GB2312" w:cs="仿宋_GB2312"/>
                <w:spacing w:val="4"/>
                <w:sz w:val="24"/>
                <w:szCs w:val="24"/>
                <w:lang w:eastAsia="zh-CN"/>
              </w:rPr>
            </w:pPr>
          </w:p>
          <w:p w14:paraId="61445415">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作业时间得分规则。</w:t>
            </w:r>
          </w:p>
        </w:tc>
        <w:tc>
          <w:tcPr>
            <w:tcW w:w="851" w:type="dxa"/>
          </w:tcPr>
          <w:p w14:paraId="4838516A">
            <w:pPr>
              <w:jc w:val="center"/>
              <w:rPr>
                <w:rFonts w:ascii="仿宋_GB2312" w:hAnsi="仿宋_GB2312" w:eastAsia="仿宋_GB2312" w:cs="仿宋_GB2312"/>
                <w:spacing w:val="4"/>
                <w:sz w:val="24"/>
                <w:szCs w:val="24"/>
                <w:lang w:eastAsia="zh-CN"/>
              </w:rPr>
            </w:pPr>
          </w:p>
          <w:p w14:paraId="61EC67F5">
            <w:pPr>
              <w:jc w:val="center"/>
              <w:rPr>
                <w:rFonts w:ascii="仿宋_GB2312" w:hAnsi="仿宋_GB2312" w:eastAsia="仿宋_GB2312" w:cs="仿宋_GB2312"/>
                <w:spacing w:val="4"/>
                <w:sz w:val="24"/>
                <w:szCs w:val="24"/>
                <w:lang w:eastAsia="zh-CN"/>
              </w:rPr>
            </w:pPr>
          </w:p>
          <w:p w14:paraId="2212136C">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15</w:t>
            </w:r>
          </w:p>
        </w:tc>
        <w:tc>
          <w:tcPr>
            <w:tcW w:w="3544" w:type="dxa"/>
          </w:tcPr>
          <w:p w14:paraId="78B97625">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故障排查比赛结束之前，正确排查出所有故障点可以参加竞速排名；对符合排名条件的队伍，用时最少为第1名，得15分，排名递减1名核扣15/N分（N为符合排名条件的队伍数量），依次类推。</w:t>
            </w:r>
          </w:p>
        </w:tc>
        <w:tc>
          <w:tcPr>
            <w:tcW w:w="1134" w:type="dxa"/>
            <w:vMerge w:val="restart"/>
            <w:tcBorders>
              <w:bottom w:val="nil"/>
            </w:tcBorders>
          </w:tcPr>
          <w:p w14:paraId="326CB3E3">
            <w:pPr>
              <w:jc w:val="center"/>
              <w:rPr>
                <w:rFonts w:ascii="仿宋_GB2312" w:hAnsi="仿宋_GB2312" w:eastAsia="仿宋_GB2312" w:cs="仿宋_GB2312"/>
                <w:spacing w:val="4"/>
                <w:sz w:val="24"/>
                <w:szCs w:val="24"/>
                <w:lang w:eastAsia="zh-CN"/>
              </w:rPr>
            </w:pPr>
          </w:p>
          <w:p w14:paraId="7F9F9C32">
            <w:pPr>
              <w:jc w:val="center"/>
              <w:rPr>
                <w:rFonts w:ascii="仿宋_GB2312" w:hAnsi="仿宋_GB2312" w:eastAsia="仿宋_GB2312" w:cs="仿宋_GB2312"/>
                <w:spacing w:val="4"/>
                <w:sz w:val="24"/>
                <w:szCs w:val="24"/>
                <w:lang w:eastAsia="zh-CN"/>
              </w:rPr>
            </w:pPr>
          </w:p>
          <w:p w14:paraId="38ADB348">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人工/计算机评分</w:t>
            </w:r>
          </w:p>
        </w:tc>
      </w:tr>
      <w:tr w14:paraId="0BA2C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jc w:val="center"/>
        </w:trPr>
        <w:tc>
          <w:tcPr>
            <w:tcW w:w="756" w:type="dxa"/>
          </w:tcPr>
          <w:p w14:paraId="73792D66">
            <w:pPr>
              <w:jc w:val="center"/>
              <w:rPr>
                <w:rFonts w:ascii="仿宋_GB2312" w:hAnsi="仿宋_GB2312" w:eastAsia="仿宋_GB2312" w:cs="仿宋_GB2312"/>
                <w:spacing w:val="4"/>
                <w:sz w:val="24"/>
                <w:szCs w:val="24"/>
                <w:lang w:eastAsia="zh-CN"/>
              </w:rPr>
            </w:pPr>
          </w:p>
          <w:p w14:paraId="15D8AE57">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9</w:t>
            </w:r>
          </w:p>
        </w:tc>
        <w:tc>
          <w:tcPr>
            <w:tcW w:w="1088" w:type="dxa"/>
          </w:tcPr>
          <w:p w14:paraId="2E8C19BE">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工器具、测量仪表</w:t>
            </w:r>
          </w:p>
        </w:tc>
        <w:tc>
          <w:tcPr>
            <w:tcW w:w="2126" w:type="dxa"/>
          </w:tcPr>
          <w:p w14:paraId="677C9CB4">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正确使用工器具、测量仪表。</w:t>
            </w:r>
          </w:p>
        </w:tc>
        <w:tc>
          <w:tcPr>
            <w:tcW w:w="851" w:type="dxa"/>
          </w:tcPr>
          <w:p w14:paraId="25021A42">
            <w:pPr>
              <w:jc w:val="center"/>
              <w:rPr>
                <w:rFonts w:ascii="仿宋_GB2312" w:hAnsi="仿宋_GB2312" w:eastAsia="仿宋_GB2312" w:cs="仿宋_GB2312"/>
                <w:spacing w:val="4"/>
                <w:sz w:val="24"/>
                <w:szCs w:val="24"/>
                <w:lang w:eastAsia="zh-CN"/>
              </w:rPr>
            </w:pPr>
          </w:p>
          <w:p w14:paraId="3B613228">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c>
          <w:tcPr>
            <w:tcW w:w="3544" w:type="dxa"/>
          </w:tcPr>
          <w:p w14:paraId="47562E3F">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“工器具、测量仪表损坏，或作业中涉及带电测量使用电阻档测试每次扣2分，最多扣10分。本项为额外扣分项。</w:t>
            </w:r>
          </w:p>
        </w:tc>
        <w:tc>
          <w:tcPr>
            <w:tcW w:w="1134" w:type="dxa"/>
            <w:vMerge w:val="continue"/>
            <w:tcBorders>
              <w:top w:val="nil"/>
            </w:tcBorders>
          </w:tcPr>
          <w:p w14:paraId="4F639033">
            <w:pPr>
              <w:jc w:val="center"/>
              <w:rPr>
                <w:rFonts w:ascii="仿宋_GB2312" w:hAnsi="仿宋_GB2312" w:eastAsia="仿宋_GB2312" w:cs="仿宋_GB2312"/>
                <w:spacing w:val="4"/>
                <w:sz w:val="24"/>
                <w:szCs w:val="24"/>
                <w:lang w:eastAsia="zh-CN"/>
              </w:rPr>
            </w:pPr>
          </w:p>
        </w:tc>
      </w:tr>
      <w:tr w14:paraId="6EEE2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756" w:type="dxa"/>
          </w:tcPr>
          <w:p w14:paraId="14103481">
            <w:pPr>
              <w:jc w:val="center"/>
              <w:rPr>
                <w:rFonts w:ascii="仿宋_GB2312" w:hAnsi="仿宋_GB2312" w:eastAsia="仿宋_GB2312" w:cs="仿宋_GB2312"/>
                <w:spacing w:val="4"/>
                <w:sz w:val="24"/>
                <w:szCs w:val="24"/>
                <w:lang w:eastAsia="zh-CN"/>
              </w:rPr>
            </w:pPr>
          </w:p>
          <w:p w14:paraId="0E69A215">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10</w:t>
            </w:r>
          </w:p>
        </w:tc>
        <w:tc>
          <w:tcPr>
            <w:tcW w:w="7609" w:type="dxa"/>
            <w:gridSpan w:val="4"/>
          </w:tcPr>
          <w:p w14:paraId="1F568131">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选手违反安全操作流程，造成人身安全、设备损坏、扰乱赛场秩序而影响他人比赛，情节严重的，有作弊行为的，经裁判组判定成绩以0分计算。</w:t>
            </w:r>
          </w:p>
        </w:tc>
        <w:tc>
          <w:tcPr>
            <w:tcW w:w="1134" w:type="dxa"/>
          </w:tcPr>
          <w:p w14:paraId="7BCAE038">
            <w:pPr>
              <w:jc w:val="center"/>
              <w:rPr>
                <w:rFonts w:ascii="仿宋_GB2312" w:hAnsi="仿宋_GB2312" w:eastAsia="仿宋_GB2312" w:cs="仿宋_GB2312"/>
                <w:spacing w:val="4"/>
                <w:sz w:val="24"/>
                <w:szCs w:val="24"/>
                <w:lang w:eastAsia="zh-CN"/>
              </w:rPr>
            </w:pPr>
          </w:p>
        </w:tc>
      </w:tr>
      <w:tr w14:paraId="5C40C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756" w:type="dxa"/>
          </w:tcPr>
          <w:p w14:paraId="1F95B4FA">
            <w:pPr>
              <w:jc w:val="center"/>
              <w:rPr>
                <w:rFonts w:ascii="仿宋_GB2312" w:hAnsi="仿宋_GB2312" w:eastAsia="仿宋_GB2312" w:cs="仿宋_GB2312"/>
                <w:spacing w:val="4"/>
                <w:sz w:val="24"/>
                <w:szCs w:val="24"/>
                <w:lang w:eastAsia="zh-CN"/>
              </w:rPr>
            </w:pPr>
          </w:p>
          <w:p w14:paraId="0C82B46A">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11</w:t>
            </w:r>
          </w:p>
        </w:tc>
        <w:tc>
          <w:tcPr>
            <w:tcW w:w="3214" w:type="dxa"/>
            <w:gridSpan w:val="2"/>
            <w:vAlign w:val="center"/>
          </w:tcPr>
          <w:p w14:paraId="00A6A4CF">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合计</w:t>
            </w:r>
          </w:p>
        </w:tc>
        <w:tc>
          <w:tcPr>
            <w:tcW w:w="851" w:type="dxa"/>
            <w:vAlign w:val="center"/>
          </w:tcPr>
          <w:p w14:paraId="3B19A277">
            <w:pPr>
              <w:jc w:val="center"/>
              <w:rPr>
                <w:rFonts w:ascii="仿宋_GB2312" w:hAnsi="仿宋_GB2312" w:eastAsia="仿宋_GB2312" w:cs="仿宋_GB2312"/>
                <w:spacing w:val="4"/>
                <w:sz w:val="24"/>
                <w:szCs w:val="24"/>
                <w:lang w:eastAsia="zh-CN"/>
              </w:rPr>
            </w:pPr>
          </w:p>
          <w:p w14:paraId="28D3D3B9">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100</w:t>
            </w:r>
          </w:p>
        </w:tc>
        <w:tc>
          <w:tcPr>
            <w:tcW w:w="3544" w:type="dxa"/>
            <w:vAlign w:val="center"/>
          </w:tcPr>
          <w:p w14:paraId="24432975">
            <w:pPr>
              <w:jc w:val="center"/>
              <w:rPr>
                <w:rFonts w:ascii="仿宋_GB2312" w:hAnsi="仿宋_GB2312" w:eastAsia="仿宋_GB2312" w:cs="仿宋_GB2312"/>
                <w:spacing w:val="4"/>
                <w:sz w:val="24"/>
                <w:szCs w:val="24"/>
                <w:lang w:eastAsia="zh-CN"/>
              </w:rPr>
            </w:pPr>
            <w:r>
              <w:rPr>
                <w:rFonts w:ascii="仿宋_GB2312" w:hAnsi="仿宋_GB2312" w:eastAsia="仿宋_GB2312" w:cs="仿宋_GB2312"/>
                <w:spacing w:val="4"/>
                <w:sz w:val="24"/>
                <w:szCs w:val="24"/>
                <w:lang w:eastAsia="zh-CN"/>
              </w:rPr>
              <w:t>本项目的得分减去额外扣分为本项目总得分。最多扣完选手的本项目得分。</w:t>
            </w:r>
          </w:p>
        </w:tc>
        <w:tc>
          <w:tcPr>
            <w:tcW w:w="1134" w:type="dxa"/>
          </w:tcPr>
          <w:p w14:paraId="63260FAA">
            <w:pPr>
              <w:jc w:val="center"/>
              <w:rPr>
                <w:rFonts w:ascii="仿宋_GB2312" w:hAnsi="仿宋_GB2312" w:eastAsia="仿宋_GB2312" w:cs="仿宋_GB2312"/>
                <w:spacing w:val="4"/>
                <w:sz w:val="24"/>
                <w:szCs w:val="24"/>
                <w:lang w:eastAsia="zh-CN"/>
              </w:rPr>
            </w:pPr>
          </w:p>
          <w:p w14:paraId="7F4012BB">
            <w:pPr>
              <w:pStyle w:val="19"/>
              <w:jc w:val="center"/>
              <w:rPr>
                <w:rFonts w:ascii="仿宋_GB2312" w:hAnsi="仿宋_GB2312" w:eastAsia="仿宋_GB2312" w:cs="仿宋_GB2312"/>
                <w:spacing w:val="4"/>
                <w:lang w:eastAsia="zh-CN"/>
              </w:rPr>
            </w:pPr>
            <w:r>
              <w:rPr>
                <w:rFonts w:ascii="仿宋_GB2312" w:hAnsi="仿宋_GB2312" w:eastAsia="仿宋_GB2312" w:cs="仿宋_GB2312"/>
                <w:spacing w:val="4"/>
                <w:lang w:eastAsia="zh-CN"/>
              </w:rPr>
              <w:t>/</w:t>
            </w:r>
          </w:p>
        </w:tc>
      </w:tr>
    </w:tbl>
    <w:p w14:paraId="4D839437">
      <w:pPr>
        <w:spacing w:line="360" w:lineRule="auto"/>
        <w:ind w:firstLine="560" w:firstLineChars="200"/>
        <w:rPr>
          <w:rFonts w:hint="eastAsia" w:ascii="仿宋" w:hAnsi="仿宋" w:eastAsia="仿宋" w:cs="微软雅黑"/>
          <w:sz w:val="28"/>
          <w:szCs w:val="28"/>
          <w:lang w:eastAsia="zh-CN"/>
        </w:rPr>
      </w:pPr>
      <w:r>
        <w:rPr>
          <w:rFonts w:hint="eastAsia" w:ascii="仿宋" w:hAnsi="仿宋" w:eastAsia="仿宋" w:cs="微软雅黑"/>
          <w:sz w:val="28"/>
          <w:szCs w:val="28"/>
          <w:lang w:eastAsia="zh-CN"/>
        </w:rPr>
        <w:t>作</w:t>
      </w:r>
      <w:r>
        <w:rPr>
          <w:rFonts w:hint="eastAsia" w:ascii="仿宋" w:hAnsi="仿宋" w:eastAsia="仿宋" w:cs="微软雅黑"/>
          <w:sz w:val="28"/>
          <w:szCs w:val="28"/>
          <w:lang w:val="en-US" w:eastAsia="zh-CN"/>
        </w:rPr>
        <w:t>业说明：选手进场前应穿戴好工装、现场准备的反光衣；其中工装选手需自行准备，反光衣由赛事组统一提供。</w:t>
      </w:r>
    </w:p>
    <w:p w14:paraId="5EC1B037">
      <w:pPr>
        <w:pStyle w:val="2"/>
      </w:pPr>
    </w:p>
    <w:p w14:paraId="77FE426F">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（四）裁判组要求</w:t>
      </w:r>
    </w:p>
    <w:p w14:paraId="7718BCDD">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裁判组实行“裁判长负责制”，设裁判长1名，全面负责赛项的裁判与管理工作。裁判员若干，分为加密裁判、现场裁判，分别负责加密、现场执裁等工作。</w:t>
      </w:r>
    </w:p>
    <w:p w14:paraId="418332F1">
      <w:pPr>
        <w:spacing w:before="156" w:beforeLines="50" w:after="156" w:afterLines="50"/>
        <w:outlineLvl w:val="0"/>
        <w:rPr>
          <w:rFonts w:ascii="仿宋" w:hAnsi="仿宋" w:eastAsia="仿宋"/>
          <w:b/>
          <w:bCs/>
          <w:sz w:val="32"/>
          <w:szCs w:val="32"/>
        </w:rPr>
      </w:pPr>
      <w:r>
        <w:rPr>
          <w:rFonts w:hint="eastAsia" w:ascii="仿宋" w:hAnsi="仿宋" w:eastAsia="仿宋"/>
          <w:b/>
          <w:bCs/>
          <w:sz w:val="32"/>
          <w:szCs w:val="32"/>
        </w:rPr>
        <w:t>十二、奖项设置</w:t>
      </w:r>
    </w:p>
    <w:p w14:paraId="051F18D9">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按团体设一、二、三等奖。以实际参赛队总数为基数，一、二、三等奖获奖比例分别为10%、20%、30%(小数点后四舍五入)。</w:t>
      </w:r>
    </w:p>
    <w:p w14:paraId="0A9C5E95">
      <w:pPr>
        <w:spacing w:line="360" w:lineRule="auto"/>
        <w:ind w:firstLine="560" w:firstLineChars="200"/>
        <w:rPr>
          <w:rFonts w:ascii="仿宋" w:hAnsi="仿宋" w:eastAsia="仿宋" w:cs="微软雅黑"/>
          <w:sz w:val="28"/>
          <w:szCs w:val="28"/>
        </w:rPr>
      </w:pPr>
      <w:r>
        <w:rPr>
          <w:rFonts w:hint="eastAsia" w:ascii="仿宋" w:hAnsi="仿宋" w:eastAsia="仿宋" w:cs="仿宋"/>
          <w:sz w:val="28"/>
          <w:szCs w:val="28"/>
        </w:rPr>
        <w:t>本赛项不存在最终成绩排名并列的情况。</w:t>
      </w:r>
    </w:p>
    <w:p w14:paraId="75945135">
      <w:pPr>
        <w:spacing w:before="156" w:beforeLines="50" w:after="156" w:afterLines="50"/>
        <w:outlineLvl w:val="0"/>
        <w:rPr>
          <w:rFonts w:ascii="仿宋" w:hAnsi="仿宋" w:eastAsia="仿宋"/>
          <w:b/>
          <w:bCs/>
          <w:sz w:val="32"/>
          <w:szCs w:val="32"/>
        </w:rPr>
      </w:pPr>
      <w:r>
        <w:rPr>
          <w:rFonts w:hint="eastAsia" w:ascii="仿宋" w:hAnsi="仿宋" w:eastAsia="仿宋"/>
          <w:b/>
          <w:bCs/>
          <w:sz w:val="32"/>
          <w:szCs w:val="32"/>
        </w:rPr>
        <w:t>十三、赛项预案</w:t>
      </w:r>
    </w:p>
    <w:p w14:paraId="235F1554">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(一)赛场出现断电情况的处理</w:t>
      </w:r>
    </w:p>
    <w:p w14:paraId="1B1649D0">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如果赛场出现断电情况，可能影响该赛场选手进入赛场、下载试题、登录竞赛页面和正常答题。</w:t>
      </w:r>
    </w:p>
    <w:p w14:paraId="3A5D8E68">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如果竞赛开始前或竞赛过程中赛场出现断电情况，承办院校应当在30分钟内解决，并按照有关规定或指令给予补时；如果30分钟内无法解决，可宣布该赛场停止竞赛。</w:t>
      </w:r>
    </w:p>
    <w:p w14:paraId="4D19F366">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(二)网络出现故障情况的处理</w:t>
      </w:r>
    </w:p>
    <w:p w14:paraId="6CF24BAE">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如果竞赛开始前赛场网络出现故障，技术支持人员应及时采取措施予以排除。原则上，如果故障在竞赛开始后30分钟内得到解决，竞赛将继续进行，竞赛时间相应延长；如果故障在竞赛开始后30分钟内无法得到解决，可宣布该赛场停止竞赛。</w:t>
      </w:r>
    </w:p>
    <w:p w14:paraId="7614268D">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(三)竞赛机出现软硬件故障情况的处理</w:t>
      </w:r>
    </w:p>
    <w:p w14:paraId="13E109A7">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如果个别选手出现竞赛机硬件死机情况、软件故障情况以及竞赛机配件故障情况，选手应举手示意裁判员解决，裁判员可要求技术人员现场协助解决。从选手举手提出故障至故障处理完毕的时间超过3分钟可以申请获得相应补时。</w:t>
      </w:r>
    </w:p>
    <w:p w14:paraId="60D9CE54">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(四)赛场发生事故时的处理程序</w:t>
      </w:r>
    </w:p>
    <w:p w14:paraId="2F0940AB">
      <w:pPr>
        <w:spacing w:line="360" w:lineRule="auto"/>
        <w:ind w:firstLine="560" w:firstLineChars="200"/>
        <w:rPr>
          <w:rFonts w:ascii="仿宋" w:hAnsi="仿宋" w:eastAsia="仿宋" w:cs="仿宋"/>
          <w:sz w:val="28"/>
          <w:szCs w:val="28"/>
        </w:rPr>
      </w:pPr>
      <w:r>
        <w:rPr>
          <w:rFonts w:hint="eastAsia" w:ascii="仿宋" w:hAnsi="仿宋" w:eastAsia="仿宋" w:cs="微软雅黑"/>
          <w:sz w:val="28"/>
          <w:szCs w:val="28"/>
        </w:rPr>
        <w:t>如果比赛期间发生意外事故，发现者应第</w:t>
      </w:r>
      <w:r>
        <w:rPr>
          <w:rFonts w:hint="eastAsia" w:ascii="仿宋" w:hAnsi="仿宋" w:eastAsia="仿宋" w:cs="仿宋"/>
          <w:spacing w:val="-4"/>
          <w:sz w:val="28"/>
          <w:szCs w:val="28"/>
        </w:rPr>
        <w:t>一时间报告裁判员，同</w:t>
      </w:r>
      <w:r>
        <w:rPr>
          <w:rFonts w:hint="eastAsia" w:ascii="仿宋" w:hAnsi="仿宋" w:eastAsia="仿宋" w:cs="仿宋"/>
          <w:spacing w:val="-6"/>
          <w:sz w:val="28"/>
          <w:szCs w:val="28"/>
        </w:rPr>
        <w:t>时采取措施避免</w:t>
      </w:r>
      <w:r>
        <w:rPr>
          <w:rFonts w:hint="eastAsia" w:ascii="仿宋" w:hAnsi="仿宋" w:eastAsia="仿宋" w:cs="仿宋"/>
          <w:spacing w:val="-4"/>
          <w:sz w:val="28"/>
          <w:szCs w:val="28"/>
        </w:rPr>
        <w:t>事</w:t>
      </w:r>
      <w:r>
        <w:rPr>
          <w:rFonts w:hint="eastAsia" w:ascii="仿宋" w:hAnsi="仿宋" w:eastAsia="仿宋" w:cs="仿宋"/>
          <w:spacing w:val="-3"/>
          <w:sz w:val="28"/>
          <w:szCs w:val="28"/>
        </w:rPr>
        <w:t>态扩大。裁判员应立即启动预案予以解决并报告裁判组</w:t>
      </w:r>
      <w:r>
        <w:rPr>
          <w:rFonts w:hint="eastAsia" w:ascii="仿宋" w:hAnsi="仿宋" w:eastAsia="仿宋" w:cs="仿宋"/>
          <w:spacing w:val="-5"/>
          <w:sz w:val="28"/>
          <w:szCs w:val="28"/>
        </w:rPr>
        <w:t>。</w:t>
      </w:r>
    </w:p>
    <w:p w14:paraId="7FE44A92">
      <w:pPr>
        <w:spacing w:before="156" w:beforeLines="50" w:after="156" w:afterLines="50"/>
        <w:outlineLvl w:val="0"/>
        <w:rPr>
          <w:rFonts w:ascii="仿宋" w:hAnsi="仿宋" w:eastAsia="仿宋" w:cs="微软雅黑"/>
          <w:sz w:val="28"/>
          <w:szCs w:val="28"/>
        </w:rPr>
      </w:pPr>
      <w:r>
        <w:rPr>
          <w:rFonts w:hint="eastAsia" w:ascii="仿宋" w:hAnsi="仿宋" w:eastAsia="仿宋"/>
          <w:b/>
          <w:bCs/>
          <w:sz w:val="32"/>
          <w:szCs w:val="32"/>
        </w:rPr>
        <w:t>十四、竞赛须知</w:t>
      </w:r>
    </w:p>
    <w:p w14:paraId="5D288DA1">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(一)参赛队须知</w:t>
      </w:r>
    </w:p>
    <w:p w14:paraId="41507F5F">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1.参赛队名称统一使用各学校代表队名称，不得使用其他组织或团体名称。</w:t>
      </w:r>
    </w:p>
    <w:p w14:paraId="229BB6CC">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2.参赛队按照大赛赛程安排，凭颁发的参赛证和有效身份证件参加比赛及相关活动。</w:t>
      </w:r>
    </w:p>
    <w:p w14:paraId="66EF75FA">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(二)领队、指导教师须知</w:t>
      </w:r>
    </w:p>
    <w:p w14:paraId="0A6754E1">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1.领队、指导教师须严格遵守赛场纪律，服从裁判，文明竞赛。</w:t>
      </w:r>
    </w:p>
    <w:p w14:paraId="78FDEE31">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2.竞赛期间，指导教师不得进入赛场内进行指导。</w:t>
      </w:r>
    </w:p>
    <w:p w14:paraId="418B4B90">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3.正式报名的领队、指导教师原则上不得更换。</w:t>
      </w:r>
    </w:p>
    <w:p w14:paraId="56F61F51">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4.竞赛期间各参赛队不得以任何形式向裁判透露参赛信息或沟通竞赛事宜。</w:t>
      </w:r>
    </w:p>
    <w:p w14:paraId="14D2BD63">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(三)参赛选手须知</w:t>
      </w:r>
    </w:p>
    <w:p w14:paraId="73136ACC">
      <w:pPr>
        <w:spacing w:line="360" w:lineRule="auto"/>
        <w:ind w:firstLine="560" w:firstLineChars="200"/>
        <w:outlineLvl w:val="2"/>
        <w:rPr>
          <w:rFonts w:ascii="仿宋" w:hAnsi="仿宋" w:eastAsia="仿宋" w:cs="微软雅黑"/>
          <w:sz w:val="28"/>
          <w:szCs w:val="28"/>
        </w:rPr>
      </w:pPr>
      <w:r>
        <w:rPr>
          <w:rFonts w:hint="eastAsia" w:ascii="仿宋" w:hAnsi="仿宋" w:eastAsia="仿宋" w:cs="微软雅黑"/>
          <w:sz w:val="28"/>
          <w:szCs w:val="28"/>
        </w:rPr>
        <w:t>1.参赛选手应按有关要求如实填报个人信息，否则取消竞赛资格。</w:t>
      </w:r>
    </w:p>
    <w:p w14:paraId="0797CE4E">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2.参赛选手凭统一印制的参赛证、有效身份证件参加竞赛，并注意仪容仪表整洁、大方，自觉遵守大赛纪律，服从指挥，听从安排，文明参赛。</w:t>
      </w:r>
    </w:p>
    <w:p w14:paraId="722BDF49">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3.参赛选手应提前30分钟抵达赛场，凭参赛证、身份证件检录，按要求入场，不得迟到早退。</w:t>
      </w:r>
    </w:p>
    <w:p w14:paraId="06CD8BED">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4.参赛选手须在确认竞赛内容和现场设备等无误后开始竞赛。在竞赛过程中，如有疑问、身体不适或设备、软件等故障，参赛选手应举手示意，现场裁判应按照有关规定及时处理，确因计算机软件或硬件故障，致使操作无法继续的，经裁判长确认，予以启用备用计算机。</w:t>
      </w:r>
    </w:p>
    <w:p w14:paraId="57A50F8A">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5.各参赛选手必须按规范要求操作竞赛设备。一旦出现较严重的安全事故，经裁判长批准后将立即取消其参赛资格。</w:t>
      </w:r>
    </w:p>
    <w:p w14:paraId="72D55CB9">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6.竞赛时间终了，选手应全体起立，结束操作。经现场指挥人员发出指令后，方可离开赛场。</w:t>
      </w:r>
    </w:p>
    <w:p w14:paraId="1AE093F7">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7.在竞赛期间，未经裁判组的批准，参赛选手不得接受其他单位和个人进行的与竞赛内容相关的采访。参赛选手不得将竞赛的相关信息私自公布。</w:t>
      </w:r>
    </w:p>
    <w:p w14:paraId="26EE69A8">
      <w:pPr>
        <w:spacing w:line="360" w:lineRule="auto"/>
        <w:ind w:firstLine="562" w:firstLineChars="200"/>
        <w:outlineLvl w:val="1"/>
        <w:rPr>
          <w:rFonts w:ascii="仿宋" w:hAnsi="仿宋" w:eastAsia="仿宋" w:cs="楷体"/>
          <w:b/>
          <w:bCs/>
          <w:sz w:val="28"/>
          <w:szCs w:val="28"/>
        </w:rPr>
      </w:pPr>
      <w:r>
        <w:rPr>
          <w:rFonts w:hint="eastAsia" w:ascii="仿宋" w:hAnsi="仿宋" w:eastAsia="仿宋" w:cs="楷体"/>
          <w:b/>
          <w:bCs/>
          <w:sz w:val="28"/>
          <w:szCs w:val="28"/>
        </w:rPr>
        <w:t>(四)工作人员须知</w:t>
      </w:r>
    </w:p>
    <w:p w14:paraId="4CF2DFA1">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1.大赛期间，工作人员应遵守赛场相关规定。新闻媒体等进入赛场必须经承办单位及裁判组允许，由专人陪同并且听从现场工作人员的安排和管理，不能影响比赛进行。</w:t>
      </w:r>
    </w:p>
    <w:p w14:paraId="3E77BFD0">
      <w:pPr>
        <w:spacing w:line="360" w:lineRule="auto"/>
        <w:ind w:firstLine="560" w:firstLineChars="200"/>
        <w:rPr>
          <w:rFonts w:ascii="仿宋" w:hAnsi="仿宋" w:eastAsia="仿宋" w:cs="微软雅黑"/>
          <w:sz w:val="28"/>
          <w:szCs w:val="28"/>
        </w:rPr>
      </w:pPr>
      <w:r>
        <w:rPr>
          <w:rFonts w:hint="eastAsia" w:ascii="仿宋" w:hAnsi="仿宋" w:eastAsia="仿宋" w:cs="微软雅黑"/>
          <w:sz w:val="28"/>
          <w:szCs w:val="28"/>
        </w:rPr>
        <w:t>2.在选手比赛时，工作人员及赛场所有人员必须保持安静，不得随意走动、喧哗、提示或出现对选手有影响的动作。</w:t>
      </w:r>
    </w:p>
    <w:p w14:paraId="10848215">
      <w:pPr>
        <w:spacing w:line="360" w:lineRule="auto"/>
        <w:ind w:firstLine="560" w:firstLineChars="200"/>
        <w:rPr>
          <w:rFonts w:ascii="仿宋" w:hAnsi="仿宋" w:eastAsia="仿宋" w:cs="微软雅黑"/>
          <w:sz w:val="32"/>
          <w:szCs w:val="32"/>
        </w:rPr>
      </w:pPr>
      <w:r>
        <w:rPr>
          <w:rFonts w:hint="eastAsia" w:ascii="仿宋" w:hAnsi="仿宋" w:eastAsia="仿宋" w:cs="微软雅黑"/>
          <w:sz w:val="28"/>
          <w:szCs w:val="28"/>
        </w:rPr>
        <w:t>3.比赛期间，由赛场工作人员负责处理突发事件，由仲裁组人员处理申诉事项，由监督人员对裁判人员和现场评分员进行监督，工作人员不得私自处理有关选手比赛成绩的相关事件。</w:t>
      </w:r>
    </w:p>
    <w:p w14:paraId="0E5CE49F">
      <w:pPr>
        <w:spacing w:before="156" w:beforeLines="50" w:after="156" w:afterLines="50"/>
        <w:outlineLvl w:val="0"/>
        <w:rPr>
          <w:rFonts w:ascii="仿宋" w:hAnsi="仿宋" w:eastAsia="仿宋"/>
          <w:b/>
          <w:bCs/>
          <w:sz w:val="32"/>
          <w:szCs w:val="32"/>
        </w:rPr>
      </w:pPr>
      <w:r>
        <w:rPr>
          <w:rFonts w:hint="eastAsia" w:ascii="仿宋" w:hAnsi="仿宋" w:eastAsia="仿宋"/>
          <w:b/>
          <w:bCs/>
          <w:sz w:val="32"/>
          <w:szCs w:val="32"/>
        </w:rPr>
        <w:t>十五、申诉与仲裁</w:t>
      </w:r>
    </w:p>
    <w:p w14:paraId="6F150A1B">
      <w:pPr>
        <w:spacing w:before="156" w:beforeLines="50" w:after="156" w:afterLines="50" w:line="360" w:lineRule="auto"/>
        <w:ind w:firstLine="548" w:firstLineChars="200"/>
        <w:rPr>
          <w:rFonts w:ascii="仿宋" w:hAnsi="仿宋" w:eastAsia="仿宋" w:cs="仿宋"/>
          <w:spacing w:val="-3"/>
          <w:sz w:val="28"/>
          <w:szCs w:val="28"/>
        </w:rPr>
      </w:pPr>
      <w:r>
        <w:rPr>
          <w:rFonts w:hint="eastAsia" w:ascii="仿宋" w:hAnsi="仿宋" w:eastAsia="仿宋" w:cs="仿宋"/>
          <w:spacing w:val="-3"/>
          <w:sz w:val="28"/>
          <w:szCs w:val="28"/>
        </w:rPr>
        <w:t>本赛项在比赛过程中若出现有失公正或有关人员违规等现象，代表队领队可在比赛结束后 2 小时之内向仲裁组提交纸质文字版申诉书，超过时效不予受理。申诉书应对申诉事件的过程、发生时间、涉及人员、申诉依据、结果等进行充分、实事求是的叙述，并由领队亲笔签名。非纸质文字申诉不予受理。赛项设赛项监督仲裁工作组。赛项监督仲裁工作组在接到申诉报告后的 2 小时内组织复议，并及时将复议结果以书面形式告知申诉方。</w:t>
      </w:r>
    </w:p>
    <w:p w14:paraId="7A3530B0"/>
    <w:p w14:paraId="430341BE">
      <w:pPr>
        <w:rPr>
          <w:lang w:val="zh-CN"/>
        </w:rPr>
      </w:pPr>
    </w:p>
    <w:p w14:paraId="6009A5FB">
      <w:pPr>
        <w:pStyle w:val="2"/>
        <w:rPr>
          <w:lang w:val="zh-CN"/>
        </w:rPr>
      </w:pPr>
    </w:p>
    <w:p w14:paraId="6D316866">
      <w:pPr>
        <w:rPr>
          <w:rFonts w:hint="eastAsia"/>
          <w:lang w:val="zh-CN"/>
        </w:rPr>
      </w:pPr>
    </w:p>
    <w:p w14:paraId="0E53B208">
      <w:pPr>
        <w:rPr>
          <w:snapToGrid w:val="0"/>
          <w:lang w:val="zh-CN"/>
        </w:rPr>
      </w:pPr>
    </w:p>
    <w:p w14:paraId="12A25229"/>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E606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0DBD4">
                          <w:pPr>
                            <w:pStyle w:val="9"/>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AD0DBD4">
                    <w:pPr>
                      <w:pStyle w:val="9"/>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64976A4A"/>
    <w:rsid w:val="000B5282"/>
    <w:rsid w:val="002F219A"/>
    <w:rsid w:val="00360F6F"/>
    <w:rsid w:val="00361CDE"/>
    <w:rsid w:val="003A5E8D"/>
    <w:rsid w:val="003E0948"/>
    <w:rsid w:val="004850BE"/>
    <w:rsid w:val="00495099"/>
    <w:rsid w:val="004A0C7C"/>
    <w:rsid w:val="00527DDF"/>
    <w:rsid w:val="005660C3"/>
    <w:rsid w:val="005B26AD"/>
    <w:rsid w:val="005C5307"/>
    <w:rsid w:val="0061369F"/>
    <w:rsid w:val="00644F7B"/>
    <w:rsid w:val="00691D83"/>
    <w:rsid w:val="006D5E22"/>
    <w:rsid w:val="007B0D64"/>
    <w:rsid w:val="0084095F"/>
    <w:rsid w:val="00856385"/>
    <w:rsid w:val="008B117A"/>
    <w:rsid w:val="008E76F4"/>
    <w:rsid w:val="00A40A03"/>
    <w:rsid w:val="00AB339D"/>
    <w:rsid w:val="00B75108"/>
    <w:rsid w:val="00C1246A"/>
    <w:rsid w:val="00C16A9E"/>
    <w:rsid w:val="00C300AE"/>
    <w:rsid w:val="00D1744E"/>
    <w:rsid w:val="00D56C7B"/>
    <w:rsid w:val="00EF6A09"/>
    <w:rsid w:val="00F606C7"/>
    <w:rsid w:val="00F647DD"/>
    <w:rsid w:val="0B945813"/>
    <w:rsid w:val="0F086C8C"/>
    <w:rsid w:val="14EA0173"/>
    <w:rsid w:val="1F8605F9"/>
    <w:rsid w:val="23F01BC9"/>
    <w:rsid w:val="3C3A43AC"/>
    <w:rsid w:val="455D1666"/>
    <w:rsid w:val="456D0411"/>
    <w:rsid w:val="49350C9F"/>
    <w:rsid w:val="4E803286"/>
    <w:rsid w:val="57043939"/>
    <w:rsid w:val="58B47435"/>
    <w:rsid w:val="58D30772"/>
    <w:rsid w:val="64976A4A"/>
    <w:rsid w:val="6EDA79A8"/>
    <w:rsid w:val="7646191B"/>
    <w:rsid w:val="774A126C"/>
    <w:rsid w:val="785250C1"/>
    <w:rsid w:val="78DE1FCA"/>
    <w:rsid w:val="7EB45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rFonts w:eastAsia="黑体"/>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unhideWhenUsed/>
    <w:qFormat/>
    <w:uiPriority w:val="99"/>
    <w:pPr>
      <w:ind w:firstLine="420" w:firstLineChars="200"/>
    </w:pPr>
  </w:style>
  <w:style w:type="paragraph" w:styleId="6">
    <w:name w:val="annotation text"/>
    <w:basedOn w:val="1"/>
    <w:qFormat/>
    <w:uiPriority w:val="0"/>
  </w:style>
  <w:style w:type="paragraph" w:styleId="7">
    <w:name w:val="Body Text"/>
    <w:basedOn w:val="1"/>
    <w:semiHidden/>
    <w:qFormat/>
    <w:uiPriority w:val="0"/>
    <w:rPr>
      <w:rFonts w:ascii="仿宋_GB2312" w:hAnsi="仿宋_GB2312" w:eastAsia="仿宋_GB2312" w:cs="仿宋_GB2312"/>
      <w:sz w:val="31"/>
      <w:szCs w:val="31"/>
    </w:rPr>
  </w:style>
  <w:style w:type="paragraph" w:styleId="8">
    <w:name w:val="Balloon Text"/>
    <w:basedOn w:val="1"/>
    <w:link w:val="17"/>
    <w:qFormat/>
    <w:uiPriority w:val="0"/>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Normal (Web)"/>
    <w:basedOn w:val="1"/>
    <w:qFormat/>
    <w:uiPriority w:val="0"/>
    <w:pPr>
      <w:widowControl/>
      <w:spacing w:before="100" w:beforeAutospacing="1" w:after="100" w:afterAutospacing="1"/>
    </w:pPr>
    <w:rPr>
      <w:rFonts w:ascii="宋体" w:hAnsi="宋体" w:cs="宋体"/>
      <w:kern w:val="0"/>
      <w:sz w:val="24"/>
    </w:rPr>
  </w:style>
  <w:style w:type="table" w:styleId="13">
    <w:name w:val="Table Grid"/>
    <w:basedOn w:val="12"/>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annotation reference"/>
    <w:basedOn w:val="14"/>
    <w:qFormat/>
    <w:uiPriority w:val="0"/>
    <w:rPr>
      <w:sz w:val="21"/>
      <w:szCs w:val="21"/>
    </w:rPr>
  </w:style>
  <w:style w:type="character" w:customStyle="1" w:styleId="16">
    <w:name w:val="ticket_name1"/>
    <w:basedOn w:val="14"/>
    <w:autoRedefine/>
    <w:qFormat/>
    <w:uiPriority w:val="0"/>
    <w:rPr>
      <w:b/>
      <w:bCs/>
      <w:color w:val="A52A2A"/>
    </w:rPr>
  </w:style>
  <w:style w:type="character" w:customStyle="1" w:styleId="17">
    <w:name w:val="批注框文本 Char"/>
    <w:basedOn w:val="14"/>
    <w:link w:val="8"/>
    <w:qFormat/>
    <w:uiPriority w:val="0"/>
    <w:rPr>
      <w:rFonts w:ascii="Calibri" w:hAnsi="Calibri"/>
      <w:kern w:val="2"/>
      <w:sz w:val="18"/>
      <w:szCs w:val="18"/>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Times New Roman" w:hAnsi="Times New Roman" w:eastAsia="Times New Roman" w:cs="Times New Roman"/>
      <w:sz w:val="24"/>
      <w:szCs w:val="24"/>
    </w:rPr>
  </w:style>
  <w:style w:type="table" w:customStyle="1" w:styleId="20">
    <w:name w:val="Table Normal1"/>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4154</Words>
  <Characters>4520</Characters>
  <Lines>486</Lines>
  <Paragraphs>351</Paragraphs>
  <TotalTime>26</TotalTime>
  <ScaleCrop>false</ScaleCrop>
  <LinksUpToDate>false</LinksUpToDate>
  <CharactersWithSpaces>4642</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2024-04-07T06:37:00Z</dcterms:created>
  <dc:creator>皇甫媛</dc:creator>
  <cp:lastModifiedBy>仨仨</cp:lastModifiedBy>
  <dcterms:modified xsi:type="dcterms:W3CDTF">2025-09-12T08:59:52Z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768945CAC29649F4B525FF65299B38E2_11</vt:lpwstr>
  </property>
  <property fmtid="{D5CDD505-2E9C-101B-9397-08002B2CF9AE}" pid="4" name="KSOTemplateDocerSaveRecord">
    <vt:lpwstr>eyJoZGlkIjoiMmRkMmU5OGIxNmM4MDRjMGY2MWUwOWYyNzg1ZWY0MTciLCJ1c2VySWQiOiI0Njc1ODA1NDEifQ==</vt:lpwstr>
  </property>
</Properties>
</file>